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7E0F54" w:rsidRPr="00601DBA" w:rsidP="007E0F54" w14:paraId="16DFE546" w14:textId="77777777">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11"/>
      <w:bookmarkEnd w:id="1"/>
      <w:r w:rsidRPr="00601DBA">
        <w:rPr>
          <w:rStyle w:val="DefaultParagraphFont"/>
          <w:rFonts w:ascii="Calibri" w:eastAsia="Calibri" w:hAnsi="Calibri" w:cs="Calibri"/>
          <w:b/>
          <w:i w:val="0"/>
          <w:caps w:val="0"/>
          <w:smallCaps w:val="0"/>
          <w:strike w:val="0"/>
          <w:noProof/>
          <w:color w:val="auto"/>
          <w:w w:val="100"/>
          <w:sz w:val="20"/>
          <w:szCs w:val="20"/>
          <w:highlight w:val="none"/>
        </w:rPr>
        <w:t>СПЕЦИЈАЛНА БОЛНИЦА ЗА НЕСПЕЦИФИЧНЕ ПЛУЋНЕ БОЛЕСТИ "СОКОБАЊА"</w:t>
      </w:r>
    </w:p>
    <w:p w:rsidR="007E0F54" w:rsidRPr="001F55F6" w:rsidP="007E0F54" w14:paraId="266B5BEA" w14:textId="77777777">
      <w:pPr>
        <w:spacing w:before="120" w:after="120"/>
        <w:rPr>
          <w:rFonts w:cstheme="minorHAnsi"/>
          <w:b/>
          <w:sz w:val="20"/>
          <w:szCs w:val="20"/>
        </w:rPr>
      </w:pPr>
      <w:r>
        <w:rPr>
          <w:rFonts w:cstheme="minorHAnsi"/>
          <w:b/>
          <w:sz w:val="20"/>
          <w:szCs w:val="20"/>
        </w:rPr>
        <w:t>ПИБ:</w:t>
      </w:r>
      <w:r w:rsidRPr="00191039">
        <w:rPr>
          <w:rFonts w:cstheme="minorHAnsi"/>
          <w:sz w:val="20"/>
          <w:szCs w:val="20"/>
        </w:rPr>
        <w:t> </w:t>
      </w:r>
      <w:r w:rsidRPr="00601DBA">
        <w:rPr>
          <w:b/>
          <w:bCs/>
          <w:lang w:val="hr-HR"/>
        </w:rPr>
        <w:t xml:space="preserve"> </w:t>
      </w:r>
      <w:bookmarkStart w:id="2" w:name="12"/>
      <w:bookmarkEnd w:id="2"/>
      <w:r w:rsidRPr="001F55F6">
        <w:rPr>
          <w:rStyle w:val="DefaultParagraphFont"/>
          <w:rFonts w:ascii="Calibri" w:eastAsia="Calibri" w:hAnsi="Calibri" w:cs="Calibri"/>
          <w:b/>
          <w:i w:val="0"/>
          <w:caps w:val="0"/>
          <w:smallCaps w:val="0"/>
          <w:strike w:val="0"/>
          <w:color w:val="auto"/>
          <w:w w:val="100"/>
          <w:sz w:val="20"/>
          <w:szCs w:val="20"/>
          <w:highlight w:val="none"/>
        </w:rPr>
        <w:t>100693517</w:t>
      </w:r>
      <w:r w:rsidRPr="001F55F6">
        <w:rPr>
          <w:rFonts w:cstheme="minorHAnsi"/>
          <w:b/>
          <w:sz w:val="20"/>
          <w:szCs w:val="20"/>
        </w:rPr>
        <w:t xml:space="preserve"> </w:t>
      </w:r>
    </w:p>
    <w:p w:rsidR="007E0F54" w:rsidP="007E0F54" w14:paraId="7FB1DD4C" w14:textId="77777777">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3" w:name="13"/>
      <w:bookmarkEnd w:id="3"/>
      <w:r>
        <w:rPr>
          <w:rStyle w:val="DefaultParagraphFont"/>
          <w:rFonts w:ascii="Calibri" w:eastAsia="Calibri" w:hAnsi="Calibri" w:cs="Calibri"/>
          <w:b/>
          <w:i w:val="0"/>
          <w:caps w:val="0"/>
          <w:smallCaps w:val="0"/>
          <w:strike w:val="0"/>
          <w:noProof/>
          <w:color w:val="auto"/>
          <w:w w:val="100"/>
          <w:sz w:val="20"/>
          <w:szCs w:val="20"/>
          <w:highlight w:val="none"/>
        </w:rPr>
        <w:t>ВОЈВОДЕ МИШИЋА БР.48</w:t>
      </w:r>
    </w:p>
    <w:p w:rsidR="007E0F54" w:rsidRPr="001F55F6" w:rsidP="007E0F54" w14:paraId="65839CC6"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4"/>
      <w:bookmarkEnd w:id="4"/>
      <w:r w:rsidRPr="001F55F6">
        <w:rPr>
          <w:rStyle w:val="DefaultParagraphFont"/>
          <w:rFonts w:ascii="Calibri" w:eastAsia="Calibri" w:hAnsi="Calibri" w:cs="Calibri"/>
          <w:b/>
          <w:i w:val="0"/>
          <w:caps w:val="0"/>
          <w:smallCaps w:val="0"/>
          <w:strike w:val="0"/>
          <w:color w:val="auto"/>
          <w:w w:val="100"/>
          <w:sz w:val="20"/>
          <w:szCs w:val="20"/>
          <w:highlight w:val="none"/>
        </w:rPr>
        <w:t>18230</w:t>
      </w:r>
      <w:r w:rsidRPr="001F55F6">
        <w:rPr>
          <w:rFonts w:cstheme="minorHAnsi"/>
          <w:b/>
          <w:sz w:val="20"/>
          <w:szCs w:val="20"/>
        </w:rPr>
        <w:t> </w:t>
      </w:r>
      <w:bookmarkStart w:id="5" w:name="15"/>
      <w:bookmarkEnd w:id="5"/>
      <w:r w:rsidRPr="001F55F6">
        <w:rPr>
          <w:rStyle w:val="DefaultParagraphFont"/>
          <w:rFonts w:ascii="Calibri" w:eastAsia="Calibri" w:hAnsi="Calibri" w:cs="Calibri"/>
          <w:b/>
          <w:i w:val="0"/>
          <w:caps w:val="0"/>
          <w:smallCaps w:val="0"/>
          <w:strike w:val="0"/>
          <w:color w:val="auto"/>
          <w:w w:val="100"/>
          <w:sz w:val="20"/>
          <w:szCs w:val="20"/>
          <w:highlight w:val="none"/>
        </w:rPr>
        <w:t>СОКОБАЊА</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7"/>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24.11.2023</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6"/>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02-23/32/6-23</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5"/>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147. став 1. тачка 8)Закона о јавним набавкама („Службени гласник“, број 91/19), наручилац доноси, одлуку о обустави поступка</w:t>
      </w:r>
    </w:p>
    <w:p w:rsidR="001F55F6" w:rsidRPr="001F55F6" w:rsidP="00A9707B" w14:paraId="2E4A0798" w14:textId="03D91676">
      <w:pPr>
        <w:spacing w:before="440" w:after="440"/>
        <w:jc w:val="center"/>
        <w:rPr>
          <w:rFonts w:cstheme="minorHAnsi"/>
          <w:b/>
          <w:sz w:val="32"/>
          <w:szCs w:val="32"/>
          <w:lang w:val="sr-Latn-BA"/>
        </w:rPr>
      </w:pPr>
      <w:r w:rsidRPr="001934FE">
        <w:rPr>
          <w:rFonts w:cstheme="minorHAnsi"/>
          <w:b/>
          <w:sz w:val="32"/>
          <w:szCs w:val="32"/>
          <w:lang w:val="sr-Latn-BA"/>
        </w:rPr>
        <w:t>ОДЛУКА О ОБУСТАВИ</w:t>
      </w:r>
    </w:p>
    <w:p w:rsidR="001F55F6" w:rsidRPr="001F55F6" w:rsidP="001F55F6" w14:paraId="2D28022D" w14:textId="44977673">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9" w:name="16"/>
      <w:bookmarkEnd w:id="9"/>
      <w:r w:rsidRPr="001F55F6">
        <w:rPr>
          <w:rStyle w:val="DefaultParagraphFont"/>
          <w:rFonts w:ascii="Calibri" w:eastAsia="Calibri" w:hAnsi="Calibri" w:cs="Calibri"/>
          <w:b/>
          <w:i w:val="0"/>
          <w:caps w:val="0"/>
          <w:smallCaps w:val="0"/>
          <w:strike w:val="0"/>
          <w:color w:val="auto"/>
          <w:w w:val="100"/>
          <w:sz w:val="20"/>
          <w:szCs w:val="20"/>
          <w:highlight w:val="none"/>
          <w:lang w:val="sr-Latn-BA"/>
        </w:rPr>
        <w:t>СПЕЦИЈАЛНА БОЛНИЦА ЗА НЕСПЕЦИФИЧНЕ ПЛУЋНЕ БОЛЕСТИ "СОКОБАЊА"</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0" w:name="10"/>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ЈН 23/32-23</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1" w:name="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Набавка постељина и пешкира</w:t>
      </w:r>
    </w:p>
    <w:p w:rsidR="001F55F6" w:rsidRPr="001F55F6" w:rsidP="001934FE" w14:paraId="2E1A1AD2" w14:textId="4AF86F39">
      <w:pPr>
        <w:tabs>
          <w:tab w:val="left" w:pos="3175"/>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2" w:name="8"/>
      <w:bookmarkEnd w:id="12"/>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2023/С Ф02-0045375</w:t>
      </w:r>
    </w:p>
    <w:p w:rsidR="001F55F6" w:rsidRPr="001F55F6" w:rsidP="001934FE" w14:paraId="6AD185A0" w14:textId="4AA6AFE2">
      <w:pPr>
        <w:pStyle w:val="Odjeljci"/>
        <w:tabs>
          <w:tab w:val="left" w:pos="1418"/>
          <w:tab w:val="left" w:pos="3175"/>
          <w:tab w:val="left" w:pos="4933"/>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3" w:name="A_ConType_1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3"/>
      <w:r>
        <w:rPr>
          <w:rFonts w:asciiTheme="minorHAnsi" w:hAnsiTheme="minorHAnsi" w:cstheme="minorHAnsi"/>
          <w:sz w:val="20"/>
          <w:szCs w:val="20"/>
        </w:rPr>
        <w:t> </w:t>
      </w:r>
      <w:r w:rsidRPr="001F55F6">
        <w:rPr>
          <w:rFonts w:asciiTheme="minorHAnsi" w:hAnsiTheme="minorHAnsi" w:cstheme="minorHAnsi"/>
          <w:b w:val="0"/>
          <w:sz w:val="20"/>
          <w:szCs w:val="20"/>
          <w:lang w:val="sr-Latn-BA"/>
        </w:rPr>
        <w:t>Радови</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4" w:name="A_ConType_2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4"/>
      <w:r>
        <w:rPr>
          <w:rFonts w:asciiTheme="minorHAnsi" w:hAnsiTheme="minorHAnsi" w:cstheme="minorHAnsi"/>
          <w:sz w:val="20"/>
          <w:szCs w:val="20"/>
        </w:rPr>
        <w:t> </w:t>
      </w:r>
      <w:r w:rsidRPr="001F55F6">
        <w:rPr>
          <w:rFonts w:asciiTheme="minorHAnsi" w:hAnsiTheme="minorHAnsi" w:cstheme="minorHAnsi"/>
          <w:b w:val="0"/>
          <w:sz w:val="20"/>
          <w:szCs w:val="20"/>
          <w:lang w:val="sr-Latn-BA"/>
        </w:rPr>
        <w:t>Добра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5" w:name="A_ConType_3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5753A2" w14:paraId="3AFB026C" w14:textId="50B32759">
      <w:pPr>
        <w:pStyle w:val="Odjeljci"/>
        <w:tabs>
          <w:tab w:val="left" w:pos="1758"/>
        </w:tabs>
        <w:spacing w:before="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1934FE">
        <w:rPr>
          <w:rFonts w:asciiTheme="minorHAnsi" w:hAnsiTheme="minorHAnsi" w:cstheme="minorHAnsi"/>
          <w:b w:val="0"/>
          <w:sz w:val="20"/>
          <w:szCs w:val="20"/>
          <w:lang w:val="sr-Latn-BA"/>
        </w:rPr>
        <w:tab/>
      </w:r>
      <w:bookmarkStart w:id="16" w:name="17"/>
      <w:bookmarkEnd w:id="16"/>
      <w:r w:rsidRPr="001F55F6">
        <w:rPr>
          <w:rStyle w:val="DefaultParagraphFont"/>
          <w:rFonts w:ascii="Calibri" w:eastAsia="Calibri" w:hAnsi="Calibri" w:cs="Calibri"/>
          <w:b/>
          <w:i w:val="0"/>
          <w:caps w:val="0"/>
          <w:smallCaps w:val="0"/>
          <w:strike w:val="0"/>
          <w:color w:val="auto"/>
          <w:w w:val="100"/>
          <w:sz w:val="20"/>
          <w:szCs w:val="20"/>
          <w:highlight w:val="none"/>
          <w:lang w:val="sr-Latn-BA"/>
        </w:rPr>
        <w:t>39500000</w:t>
      </w:r>
    </w:p>
    <w:p w:rsidR="001F55F6" w:rsidRPr="001F55F6" w:rsidP="001934FE" w14:paraId="5FF10A8D" w14:textId="6BA478B3">
      <w:pPr>
        <w:pStyle w:val="Odjeljci"/>
        <w:spacing w:before="120"/>
        <w:ind w:left="3544" w:hanging="3544"/>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Pr="001934FE" w:rsidR="001934FE">
        <w:rPr>
          <w:rFonts w:ascii="Calibri" w:hAnsi="Calibri" w:cs="Calibri"/>
          <w:b w:val="0"/>
          <w:bCs w:val="0"/>
          <w:sz w:val="20"/>
          <w:szCs w:val="20"/>
          <w:lang w:val="sr-Latn-BA"/>
        </w:rPr>
        <w:t xml:space="preserve"> </w:t>
      </w:r>
      <w:r w:rsidR="001934FE">
        <w:rPr>
          <w:rFonts w:ascii="Calibri" w:hAnsi="Calibri" w:cs="Calibri"/>
          <w:b w:val="0"/>
          <w:bCs w:val="0"/>
          <w:sz w:val="20"/>
          <w:szCs w:val="20"/>
          <w:lang w:val="sr-Latn-BA"/>
        </w:rPr>
        <w:t>који се обуставља</w:t>
      </w:r>
      <w:r w:rsidRPr="001F55F6">
        <w:rPr>
          <w:rFonts w:asciiTheme="minorHAnsi" w:hAnsiTheme="minorHAnsi" w:cstheme="minorHAnsi"/>
          <w:b w:val="0"/>
          <w:bCs w:val="0"/>
          <w:sz w:val="20"/>
          <w:szCs w:val="20"/>
          <w:lang w:val="sr-Latn-BA"/>
        </w:rPr>
        <w:t>:</w:t>
      </w:r>
      <w:r w:rsidR="001934FE">
        <w:rPr>
          <w:rFonts w:asciiTheme="minorHAnsi" w:hAnsiTheme="minorHAnsi" w:cstheme="minorHAnsi"/>
          <w:b w:val="0"/>
          <w:bCs w:val="0"/>
          <w:sz w:val="20"/>
          <w:szCs w:val="20"/>
          <w:lang w:val="sr-Latn-BA"/>
        </w:rPr>
        <w:tab/>
      </w:r>
      <w:bookmarkStart w:id="17" w:name="1"/>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Набавка постељина и пешкира</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18" w:name="2"/>
      <w:bookmarkEnd w:id="18"/>
      <w:r w:rsidRPr="001F55F6" w:rsidR="00B84A8C">
        <w:rPr>
          <w:rStyle w:val="DefaultParagraphFont"/>
          <w:rFonts w:ascii="Calibri" w:eastAsia="Calibri" w:hAnsi="Calibri" w:cs="Calibri"/>
          <w:b/>
          <w:i w:val="0"/>
          <w:caps w:val="0"/>
          <w:smallCaps w:val="0"/>
          <w:strike w:val="0"/>
          <w:color w:val="auto"/>
          <w:w w:val="100"/>
          <w:sz w:val="20"/>
          <w:szCs w:val="20"/>
          <w:highlight w:val="none"/>
        </w:rPr>
        <w:t>1.500.000,00</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19" w:name="3"/>
      <w:bookmarkEnd w:id="19"/>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A9707B" w:rsidRPr="001934FE" w:rsidP="001934FE" w14:paraId="3C53BC4E" w14:textId="746DFBD4">
      <w:pPr>
        <w:ind w:left="2268" w:hanging="2268"/>
        <w:rPr>
          <w:rStyle w:val="DefaultParagraphFont"/>
          <w:rFonts w:ascii="Calibri" w:eastAsia="Calibri" w:hAnsi="Calibri" w:cs="Calibri"/>
          <w:b/>
          <w:i w:val="0"/>
          <w:caps w:val="0"/>
          <w:smallCaps w:val="0"/>
          <w:strike w:val="0"/>
          <w:color w:val="auto"/>
          <w:w w:val="100"/>
          <w:sz w:val="20"/>
          <w:szCs w:val="20"/>
          <w:highlight w:val="none"/>
        </w:rPr>
      </w:pPr>
      <w:r>
        <w:rPr>
          <w:rFonts w:ascii="Calibri" w:hAnsi="Calibri" w:cs="Calibri"/>
          <w:sz w:val="20"/>
          <w:szCs w:val="20"/>
        </w:rPr>
        <w:t>Правни</w:t>
      </w:r>
      <w:r>
        <w:rPr>
          <w:rFonts w:ascii="Calibri" w:hAnsi="Calibri" w:cs="Calibri"/>
          <w:sz w:val="20"/>
          <w:szCs w:val="20"/>
        </w:rPr>
        <w:t xml:space="preserve"> </w:t>
      </w:r>
      <w:r>
        <w:rPr>
          <w:rFonts w:ascii="Calibri" w:hAnsi="Calibri" w:cs="Calibri"/>
          <w:sz w:val="20"/>
          <w:szCs w:val="20"/>
        </w:rPr>
        <w:t>основ</w:t>
      </w:r>
      <w:r>
        <w:rPr>
          <w:rFonts w:ascii="Calibri" w:hAnsi="Calibri" w:cs="Calibri"/>
          <w:sz w:val="20"/>
          <w:szCs w:val="20"/>
        </w:rPr>
        <w:t xml:space="preserve"> за </w:t>
      </w:r>
      <w:r>
        <w:rPr>
          <w:rFonts w:ascii="Calibri" w:hAnsi="Calibri" w:cs="Calibri"/>
          <w:sz w:val="20"/>
          <w:szCs w:val="20"/>
        </w:rPr>
        <w:t>обуставу</w:t>
      </w:r>
      <w:r>
        <w:rPr>
          <w:rFonts w:ascii="Calibri" w:hAnsi="Calibri" w:cs="Calibri"/>
          <w:sz w:val="20"/>
          <w:szCs w:val="20"/>
        </w:rPr>
        <w:t>:</w:t>
      </w:r>
      <w:r>
        <w:rPr>
          <w:rFonts w:cstheme="minorHAnsi"/>
          <w:sz w:val="20"/>
          <w:szCs w:val="20"/>
        </w:rPr>
        <w:tab/>
      </w:r>
      <w:bookmarkStart w:id="20" w:name="4"/>
      <w:bookmarkEnd w:id="20"/>
      <w:r w:rsidRPr="001934FE">
        <w:rPr>
          <w:rStyle w:val="DefaultParagraphFont"/>
          <w:rFonts w:ascii="Calibri" w:eastAsia="Calibri" w:hAnsi="Calibri" w:cs="Calibri"/>
          <w:b/>
          <w:i w:val="0"/>
          <w:caps w:val="0"/>
          <w:smallCaps w:val="0"/>
          <w:strike w:val="0"/>
          <w:color w:val="auto"/>
          <w:w w:val="100"/>
          <w:sz w:val="20"/>
          <w:szCs w:val="20"/>
          <w:highlight w:val="none"/>
        </w:rPr>
        <w:t>Члан 147. став 1. тач. 8) - наручилац након прегледа и стручне оцене понуда утврди да су све понуде неприхватљиве</w:t>
      </w:r>
    </w:p>
    <w:p w:rsidR="001934FE" w:rsidRPr="00A9707B" w:rsidP="001F55F6" w14:paraId="7AE6C0DA"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постељина и пешкира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ЈН 23/32-23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02-23/32/2-23, 07.11.2023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39500000-Текстилни производи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2023/С Ф02-0045375</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11.11.2023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22.11.2023 09:00:00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Ана Стојковић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Срђан Анђелковић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Лидија Паунковић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Набавка постељина и пешкира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Рок испоруке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22.11.2023 09:00:00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22.11.2023 09:01:15</w:t>
                  </w:r>
                </w:p>
              </w:tc>
            </w:tr>
            <w:tr>
              <w:tblPrEx>
                <w:tblInd w:w="39" w:type="dxa"/>
                <w:tblCellMar>
                  <w:left w:w="0" w:type="dxa"/>
                  <w:right w:w="0" w:type="dxa"/>
                </w:tblCellMar>
                <w:tblLook w:val="0000"/>
              </w:tblPrEx>
              <w:trPr>
                <w:trHeight w:val="276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ТЕКСТКО ДОО НИШ, СТАНОЈА БУНУШЕВЦА, 16,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1120/1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20.11.2023. 15:15:56</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милева московљевиц, цара уроса 37, 11000, београд,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20/11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20.11.2023. 15:28:06</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ЛИБЕРТЕX ДОО ИВАЊИЦА, Партизанска, 68, 32250, ИВАЊИЦА,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17/2023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21.11.2023. 14:41:20</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МИА СТРАЈИН ПР ПРОИЗВОДЊА ГОТОВИХ ТЕКСТИЛНИХ ПРОИЗВОДА ПУЕРРА НОВИ САД, СТЕВАНА СИНЂЕЛИЋА, 5,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21112023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21.11.2023. 20:01:30</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МИЛИЦА ЖДРАЉЕВИЋ ПР РАДЊА ЗА ТРГОВИНУ НА ВЕЛИКО И МАЛО МИКОНТ М МЕДОШЕВАЦ, ПОПОВАЧКА, 80, 18209, Медошевац,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64/23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21.11.2023. 22:23:22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Интер Тецхно Траде д.о.о., Обреновићева бб, ТПЦ Калча 2 спрат, Л- Б 45, 18000, Ниш,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2111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21.11.2023. 22:57:12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2721"/>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Интер Тецхно Траде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756500.00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907800.00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Рок плаћања минимум 30 дана од дана генерисања фактуре у СЕФ-у.</w:t>
                                <w:br/>
                                <w:t>Плаћање се врши уплатом на рачун привредног субјекта.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ЛИБЕРТЕX ДОО ИВАЊИЦА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865000.00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1038000.00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МИА СТРАЈИН ПР ПРОИЗВОДЊА ГОТОВИХ ТЕКСТИЛНИХ ПРОИЗВОДА ПУЕРРА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1490460.00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1490460.00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Рок плаћања 30 дана од дана генерисања фактуре у СЕФ-у.</w:t>
                                <w:br/>
                                <w:t>Плаћање се врши уплатом на рачун привредног субјекта.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милева московљевиц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1177500.00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1413000.00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вирманом</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МИЛИЦА ЖДРАЉЕВИЋ ПР РАДЊА ЗА ТРГОВИНУ НА ВЕЛИКО И МАЛО МИКОНТ М МЕДОШЕВАЦ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791550.00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949860.00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од дана генерисања фактуре у СЕФ-у.</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ТЕКСТКО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648300.00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777960.00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од дана испоручене фактуре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испоруке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Интер Тецхно Траде д.о.о.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756500.00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907800.00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Рок плаћања минимум 30 дана од дана генерисања фактуре у СЕФ-у.</w:t>
                                <w:br/>
                                <w:t>Плаћање се врши уплатом на рачун привредног субјекта.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ЛИБЕРТЕX ДОО ИВАЊИЦА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865000.00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1038000.00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МИА СТРАЈИН ПР ПРОИЗВОДЊА ГОТОВИХ ТЕКСТИЛНИХ ПРОИЗВОДА ПУЕРРА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1490460.00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1490460.00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Рок плаћања 30 дана од дана генерисања фактуре у СЕФ-у.</w:t>
                                <w:br/>
                                <w:t>Плаћање се врши уплатом на рачун привредног субјекта.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милева московљевиц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1177500.00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1413000.00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вирманом</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МИЛИЦА ЖДРАЉЕВИЋ ПР РАДЊА ЗА ТРГОВИНУ НА ВЕЛИКО И МАЛО МИКОНТ М МЕДОШЕВАЦ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791550.00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949860.00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дана од дана генерисања фактуре у СЕФ-у.</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ТЕКСТКО ДОО НИШ</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648300.00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777960.00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 од дана испоручене фактуре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9184"/>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ТЕКСТКО ДОО НИШ</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648.300,00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777.960,00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привредног субјекта Текстко доо НИШ, ул. Станоја Бунушевца бр.16, 18000 Ниш, ПИБ 100339249, матични број 07999275 одбијена је као неприхватљива јер понуђена добра не одговарају техничким карактеристикама наручиоца: за јастук се тражи материјал 180г памук, у извештају који је достављен уз понуду стоји 184г; за памучне постељине тражи се памучно платно густине 140г, у извештају о испитивању стоји 136г; за постељину од дамаста тражи се по спецификацији 170г, у достављеном извештају стоји 173,2г, по техничкој спецификацији за постељину од дамаста тражи се основа 37(ж/м) у извештају стоји 36;   </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милева московљевиц</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1.177.500,00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1.413.000,00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привредног субјекта Милева Московљевиц, ул. Цара Уроша бр.37, 11000 Београд, 2010978715322 одбијена је као неприхватљива јер понуђена добра не одговарају техничким карактеристикама наручиоца: Није достављено уверење о квалитету издато од стране акредитоване лабораторије за силиконско пунило за јастук; материјал за постељине (ставка 2 и 3) је површинске масе 136г, а тражи се 140г, за постељину од дамаста тражи се по спецификцији 170г, у достављеном извештају стоји 168,8г, по техничкој спецификацији за постељину од дамаста тражи се основа 37(ж/м) у извештају стоји 38, није достављен извештај акредитоване лабораторије за баде мантиле. </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критеријуми за избор привредног субјекта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ЛИБЕРТЕX ДОО ИВАЊИЦА</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865.000,00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1.038.000,00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Понуда привредног субјекта ЛИБЕРТЕХ ДОО ИВАЊИЦА, ул. Партизанска бр.68, ПИБ 103111060, матични број 17526448 одбијена је као неприхватљива јер понуђена добра не одговарају техничким карактеристикама наручиоца: Није достављено уверење о квалитету издато од стране акредитоване лабораторије за силиконско пунило за јастук; по техничкој спецификацији за постељине (ставка 2 и 3) тражи се основа 26(ж/м) у извештају стоји 25, за постељину од дамаста тражи се по спецификцији 170г, у достављеном извештају стоји 178г.</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критеријуми за избор привредног субјекта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МИА СТРАЈИН ПР ПРОИЗВОДЊА ГОТОВИХ ТЕКСТИЛНИХ ПРОИЗВОДА ПУЕРРА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1.490.460,00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1.490.460,00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привредног субјекта Миа Страјин ПР Производња готових текстилних производа ПУЕРРА НОВИ САД, ул. Стевана Синђелића бр.5, 21000 Нови Сад, ПИБ 111434810, матични број 65407680 одбијена је као неприхватљива јер понуђена добра не одговарају техничким карактеристикама наручиоца: за памучне постељине (ставка 2 и 3) тражи се памучно платно густине 140г, у извештају о испитивању стоји 129г, по техничкој спецификацији за постељине (ставка 2 и 3) тражи се основа 26(ж/м) у извештају стоји 24; за постељину од дамаста тражи се по спецификацији 170г, у достављеном извештају стоји 168,5, за скупљање при прању на 95 степени по спецификацији стоји по дужини -4,5, у извештају стоји -6,5;   </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МИЛИЦА ЖДРАЉЕВИЋ ПР РАДЊА ЗА ТРГОВИНУ НА ВЕЛИКО И МАЛО МИКОНТ М МЕДОШЕВАЦ</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791.550,00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949.860,00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привредног субјекта Милица Ждраљевић ПР Радња за трговину на велико и мало МИКОНТ М Медошевац, ул. Поповачка бр.80, ПИБ 108326576, матични број 63374997 одбијена је као неприхватљива јер понуђена добра не одговарају техничким карактеристикама наручиоца: за памучне постељине (ставка 2 и 3) тражи се памучно платно густине 140г, у извештају о испитивању стоји 140,6; за скупљање при прању на 95 степени по спецификацији стоји по дужини -7, у извештају стоји -8; за постељину од дамаста тражи се по спецификацији 170г, у достављеном извештају стоји 192, за скупљање при прању на 95 степени по спецификацији стоји по дужини -4,5, у извештају стоји -5,5; по техничкој спецификацији за постељину од дамаста тражи се основа 37(ж/м) у извештају стоји 30.   </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Интер Тецхно Траде д.о.о.</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756.500,00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907.800,00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Понуда привредног субјекта ИНТЕР ТЕЦХНО ТРАДЕ доо, ул. Обреновићева бб, ТПЦ Калча 2 спрат, Л-Б 45, 18000 Ниш, ПИБ 107404592, матични број 20795433одбијена је као неприхватљива јер понуђена добра не одговарају техничким карактеристикама наручиоца: по техничкој спецификацији за постељине (ставка 2 и 3) тражи се основа 26(ж/м) у извештају стоји 25; за постељину од дамаста тражи се по спецификацији 170г, у достављеном извештају стоји 180г.</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277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Обуставља се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Правни основ за обуставу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Члан 147. став 1. тач. 8) - наручилац након прегледа и стручне оцене понуда утврди да су све понуде неприхватљиве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обуставе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За јавну набавку постељина и пешкира све достављене понуде су неприхватљиве, јер ниједна не испуњава техничке карактеристике-спецификацију производа, предвиђене конкурсном документацијом </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42"/>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RPr="00A37023" w:rsidP="008C5725" w14:paraId="08E7E656" w14:textId="7CE6A5F4">
      <w:pPr>
        <w:rPr>
          <w:rFonts w:ascii="Calibri" w:eastAsia="Calibri" w:hAnsi="Calibri" w:cs="Calibri"/>
          <w:w w:val="100"/>
          <w:sz w:val="20"/>
          <w:szCs w:val="20"/>
        </w:rPr>
      </w:pPr>
      <w:bookmarkStart w:id="21" w:name="_Hlk32839505_0"/>
      <w:bookmarkStart w:id="22" w:name="1_0"/>
      <w:bookmarkEnd w:id="22"/>
      <w:r w:rsidRPr="00A37023">
        <w:rPr>
          <w:rFonts w:ascii="Calibri" w:eastAsia="Calibri" w:hAnsi="Calibri" w:cs="Calibri"/>
          <w:w w:val="100"/>
          <w:sz w:val="20"/>
          <w:szCs w:val="20"/>
        </w:rPr>
        <w:t xml:space="preserve">За јавну набавку постељина и пешкира све достављене понуде су неприхватљиве, јер ниједна не испуњава техничке карактеристике-спецификацију производа, предвиђене конкурсном документацијом </w:t>
      </w:r>
    </w:p>
    <w:p w:rsidR="001F55F6" w:rsidRPr="00F61EC9" w:rsidP="008C5725" w14:paraId="2AC8E0F5" w14:textId="06E6404A">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w:t>
      </w:r>
      <w:r w:rsidR="006B1D7A">
        <w:rPr>
          <w:rFonts w:eastAsia="Times New Roman" w:cstheme="minorHAnsi"/>
          <w:b/>
          <w:noProof/>
          <w:sz w:val="24"/>
          <w:szCs w:val="24"/>
          <w:lang w:val="sr-Latn-BA" w:eastAsia="lv-LV"/>
        </w:rPr>
        <w:t>н</w:t>
      </w:r>
      <w:r w:rsidRPr="00F61EC9">
        <w:rPr>
          <w:rFonts w:eastAsia="Times New Roman" w:cstheme="minorHAnsi"/>
          <w:b/>
          <w:noProof/>
          <w:sz w:val="24"/>
          <w:szCs w:val="24"/>
          <w:lang w:val="sr-Latn-BA" w:eastAsia="lv-LV"/>
        </w:rPr>
        <w:t>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21"/>
      <w:bookmarkStart w:id="23" w:name="2_0"/>
      <w:bookmarkEnd w:id="23"/>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4C4D17B1">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934FE" w:rsidR="001934FE">
      <w:rPr>
        <w:caps/>
        <w:noProof/>
        <w:sz w:val="12"/>
        <w:szCs w:val="12"/>
        <w:lang w:val="hr-HR"/>
      </w:rPr>
      <w:t>ОДЛУКА О ОБУСТАВИ</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Pr>
        <w:caps/>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47A47"/>
    <w:rsid w:val="00064642"/>
    <w:rsid w:val="00087A93"/>
    <w:rsid w:val="00092830"/>
    <w:rsid w:val="000A667E"/>
    <w:rsid w:val="000F6975"/>
    <w:rsid w:val="00165E99"/>
    <w:rsid w:val="001934FE"/>
    <w:rsid w:val="001B4006"/>
    <w:rsid w:val="001F55F6"/>
    <w:rsid w:val="002254F5"/>
    <w:rsid w:val="002B375A"/>
    <w:rsid w:val="002B5412"/>
    <w:rsid w:val="002E6AB7"/>
    <w:rsid w:val="00316569"/>
    <w:rsid w:val="003406EF"/>
    <w:rsid w:val="00342432"/>
    <w:rsid w:val="003753D5"/>
    <w:rsid w:val="00390B66"/>
    <w:rsid w:val="003F4A2A"/>
    <w:rsid w:val="00430FB5"/>
    <w:rsid w:val="00471857"/>
    <w:rsid w:val="0048470C"/>
    <w:rsid w:val="004D3A78"/>
    <w:rsid w:val="005349E8"/>
    <w:rsid w:val="00544D4B"/>
    <w:rsid w:val="00546F24"/>
    <w:rsid w:val="005753A2"/>
    <w:rsid w:val="005924E8"/>
    <w:rsid w:val="0059265A"/>
    <w:rsid w:val="005B6EAC"/>
    <w:rsid w:val="00601DBA"/>
    <w:rsid w:val="00666AE4"/>
    <w:rsid w:val="006A4384"/>
    <w:rsid w:val="006B1D7A"/>
    <w:rsid w:val="006C28AA"/>
    <w:rsid w:val="007076D2"/>
    <w:rsid w:val="00723884"/>
    <w:rsid w:val="007500EB"/>
    <w:rsid w:val="00797427"/>
    <w:rsid w:val="007B33EC"/>
    <w:rsid w:val="007E0F54"/>
    <w:rsid w:val="008C5725"/>
    <w:rsid w:val="00934E20"/>
    <w:rsid w:val="00943D6F"/>
    <w:rsid w:val="00A338C8"/>
    <w:rsid w:val="00A37023"/>
    <w:rsid w:val="00A9707B"/>
    <w:rsid w:val="00AA44B3"/>
    <w:rsid w:val="00AE028A"/>
    <w:rsid w:val="00B07D76"/>
    <w:rsid w:val="00B12B6B"/>
    <w:rsid w:val="00B36DFD"/>
    <w:rsid w:val="00B84A8C"/>
    <w:rsid w:val="00BE147A"/>
    <w:rsid w:val="00C4780E"/>
    <w:rsid w:val="00CB35CB"/>
    <w:rsid w:val="00D1225B"/>
    <w:rsid w:val="00D1691F"/>
    <w:rsid w:val="00D25CF6"/>
    <w:rsid w:val="00D4767B"/>
    <w:rsid w:val="00DE52D6"/>
    <w:rsid w:val="00DF4791"/>
    <w:rsid w:val="00EA7586"/>
    <w:rsid w:val="00F24FBF"/>
    <w:rsid w:val="00F61EC9"/>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rPr>
      <w:w w:val="85"/>
    </w:r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OBR_OdlukaOObustavi</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7</cp:revision>
  <dcterms:created xsi:type="dcterms:W3CDTF">2020-02-17T14:57:00Z</dcterms:created>
  <dcterms:modified xsi:type="dcterms:W3CDTF">2022-10-13T16:21:00Z</dcterms:modified>
</cp:coreProperties>
</file>