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C66036" w:rsidRPr="00601DBA" w:rsidP="00C66036" w14:paraId="47BCC4AE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C66036" w:rsidRPr="001F55F6" w:rsidP="00C66036" w14:paraId="2FD2282B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P="00C66036" w14:paraId="2C5BD51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C66036" w:rsidRPr="001F55F6" w:rsidP="00C66036" w14:paraId="5A0B64B1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14.08.2024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02-23/25/8-24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8232E7E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23/25-24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Reagensi, hemikalije i potrošni materijal za laboratoriju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F02-0028213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33696000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 hemikalije za osigurana lica upućena na bolničko lečenje</w:t>
            </w:r>
          </w:p>
          <w:p w:rsidR="00BD6B2B" w:rsidRPr="00C66036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12.220,00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8"/>
            <w:bookmarkEnd w:id="24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okončanja roka za podnošenje ponuda (14.08.2024.god. 08,00 časova) nije dospela ponuda nijednog privrednog subjekta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" w:name="20"/>
            <w:bookmarkEnd w:id="2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6" w:name="21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Sredstva za održavanje Anoxomata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2"/>
            <w:bookmarkEnd w:id="2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52.600,00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3"/>
            <w:bookmarkEnd w:id="28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9" w:name="25"/>
            <w:bookmarkEnd w:id="29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0" w:name="24"/>
            <w:bookmarkEnd w:id="30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okončanja roka za podnošenje ponuda (14.08.2024.god. 08,00 časova) nije dospela ponuda nijednog privrednog subjekta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Reagensi, hemikalije i potrošni materijal za laboratoriju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23/25-24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02-23/25/2, 25.07.2024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3.023.520,00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33696000-Reagensi i kontrasti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F02-0028213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14.08.2024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Toplica Đorđević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Anoxomata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52.600,00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 hemikalije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12.220,00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14.08.2024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 hemikalije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(14.08.2024.god. 08,00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Anoxomata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(14.08.2024.god. 08,00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31" w:name="_Hlk32839505_0"/>
      <w:bookmarkStart w:id="32" w:name="1_0"/>
      <w:bookmarkEnd w:id="32"/>
      <w:r w:rsidRPr="003B6A19">
        <w:rPr>
          <w:rFonts w:ascii="Calibri" w:eastAsia="Calibri" w:hAnsi="Calibri" w:cs="Calibri"/>
          <w:sz w:val="20"/>
          <w:szCs w:val="20"/>
        </w:rPr>
        <w:t>Odluka o obustavi postupka odnosi se na partije br.8 i br.23.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2020-02-17T14:57:00Z</dcterms:created>
  <dcterms:modified xsi:type="dcterms:W3CDTF">2022-10-13T16:21:00Z</dcterms:modified>
</cp:coreProperties>
</file>