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03.02.2025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02-23/2/7-25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Гориво за службена возила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Ф02-0000490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Гориво за службена возила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2.800.000,00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НИС А.Д.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Народног Фронта,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2.803.709,70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3.364.499,70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Гориво за службена возила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02-23/2/2-25, 14.01.2025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2.800.000,00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09132000-Бензин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Ф02-0000490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Бојана Стојановић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Гориво за службена возила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03.02.2025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03.02.2025 09:00:26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ИЗ-02022025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2.2.2025. 14:56:00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2803709.70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3364499.70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плаћања 30 дана уз један пут месечно фактурисање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2803709.70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3364499.70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плаћања 30 дана уз један пут месечно фактурисање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2.803.709,70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3.364.499,70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2.803.709,70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