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26.03.2025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02-23/17/239-24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Vodovodni materijal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 O DOO ARANĐELOVAC, 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100765218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Industrijska zona, 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40.355,00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48.426,00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Stolarsko - farbarski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 O DOO ARANĐELOVAC, 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100765218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Industrijska zona, 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114.039,00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136.846,80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905"/>
        <w:gridCol w:w="348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Stolarsko - 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13.03.2025 13:42:47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100716779</w:t>
                    <w:br/>
                    <w:t>AMBIENT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112413051</w:t>
                    <w:br/>
                    <w:t>ARSS TECHNOLOGY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Vodovodni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Stolarsko - farbarski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25.03.2025 09:04:02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15.3.2025. 11:36:32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24.3.2025. 08:39:12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24.3.2025. 12:57:57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Stolarsko - 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15.3.2025. 11:36:32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24.3.2025. 08:39:12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24.3.2025. 12:57:57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44812.32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53774.61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109116.00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Stolarsko - farbarski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130446.71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156536.77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114039.00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136846.80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44812.32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53774.61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109116.00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Stolarsko - farbarski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130446.71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156536.77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114039.00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136846.80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90.930,00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109.116,00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40.355,00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48.426,00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44.812,32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53.774,61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Stolarsko - farbarski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265.120,00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318.144,00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114.039,00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136.846,80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130.446,71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156.536,77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40.355,00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44.812,32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90.930,00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Stolarsko - 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114.039,00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130.446,71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265.120,00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sz w:val="20"/>
          <w:szCs w:val="20"/>
        </w:rPr>
        <w:t>Odluka o dodeli ugovora se odnosi na obe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