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7E0F54" w:rsidRPr="00601DBA" w:rsidP="007E0F54" w14:paraId="16DFE546"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11"/>
      <w:bookmarkEnd w:id="1"/>
      <w:r w:rsidRPr="00601DBA">
        <w:rPr>
          <w:rStyle w:val="DefaultParagraphFont"/>
          <w:rFonts w:ascii="Calibri" w:eastAsia="Calibri" w:hAnsi="Calibri" w:cs="Calibri"/>
          <w:b/>
          <w:i w:val="0"/>
          <w:caps w:val="0"/>
          <w:smallCaps w:val="0"/>
          <w:strike w:val="0"/>
          <w:noProof/>
          <w:color w:val="auto"/>
          <w:w w:val="100"/>
          <w:sz w:val="20"/>
          <w:szCs w:val="20"/>
          <w:highlight w:val="none"/>
        </w:rPr>
        <w:t>СПЕЦИЈАЛНА БОЛНИЦА ЗА НЕСПЕЦИФИЧНЕ ПЛУЋНЕ БОЛЕСТИ "СОКОБАЊА"</w:t>
      </w:r>
    </w:p>
    <w:p w:rsidR="007E0F54" w:rsidRPr="001F55F6" w:rsidP="007E0F54" w14:paraId="266B5BEA" w14:textId="77777777">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2" w:name="12"/>
      <w:bookmarkEnd w:id="2"/>
      <w:r w:rsidRPr="001F55F6">
        <w:rPr>
          <w:rStyle w:val="DefaultParagraphFont"/>
          <w:rFonts w:ascii="Calibri" w:eastAsia="Calibri" w:hAnsi="Calibri" w:cs="Calibri"/>
          <w:b/>
          <w:i w:val="0"/>
          <w:caps w:val="0"/>
          <w:smallCaps w:val="0"/>
          <w:strike w:val="0"/>
          <w:color w:val="auto"/>
          <w:w w:val="100"/>
          <w:sz w:val="20"/>
          <w:szCs w:val="20"/>
          <w:highlight w:val="none"/>
        </w:rPr>
        <w:t>100693517</w:t>
      </w:r>
      <w:r w:rsidRPr="001F55F6">
        <w:rPr>
          <w:rFonts w:cstheme="minorHAnsi"/>
          <w:b/>
          <w:sz w:val="20"/>
          <w:szCs w:val="20"/>
        </w:rPr>
        <w:t xml:space="preserve"> </w:t>
      </w:r>
    </w:p>
    <w:p w:rsidR="007E0F54" w:rsidP="007E0F54" w14:paraId="7FB1DD4C"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3" w:name="13"/>
      <w:bookmarkEnd w:id="3"/>
      <w:r>
        <w:rPr>
          <w:rStyle w:val="DefaultParagraphFont"/>
          <w:rFonts w:ascii="Calibri" w:eastAsia="Calibri" w:hAnsi="Calibri" w:cs="Calibri"/>
          <w:b/>
          <w:i w:val="0"/>
          <w:caps w:val="0"/>
          <w:smallCaps w:val="0"/>
          <w:strike w:val="0"/>
          <w:noProof/>
          <w:color w:val="auto"/>
          <w:w w:val="100"/>
          <w:sz w:val="20"/>
          <w:szCs w:val="20"/>
          <w:highlight w:val="none"/>
        </w:rPr>
        <w:t>ВОЈВОДЕ МИШИЋА БР.48</w:t>
      </w:r>
    </w:p>
    <w:p w:rsidR="007E0F54" w:rsidRPr="001F55F6" w:rsidP="007E0F54" w14:paraId="65839CC6"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4"/>
      <w:bookmarkEnd w:id="4"/>
      <w:r w:rsidRPr="001F55F6">
        <w:rPr>
          <w:rStyle w:val="DefaultParagraphFont"/>
          <w:rFonts w:ascii="Calibri" w:eastAsia="Calibri" w:hAnsi="Calibri" w:cs="Calibri"/>
          <w:b/>
          <w:i w:val="0"/>
          <w:caps w:val="0"/>
          <w:smallCaps w:val="0"/>
          <w:strike w:val="0"/>
          <w:color w:val="auto"/>
          <w:w w:val="100"/>
          <w:sz w:val="20"/>
          <w:szCs w:val="20"/>
          <w:highlight w:val="none"/>
        </w:rPr>
        <w:t>18230</w:t>
      </w:r>
      <w:r w:rsidRPr="001F55F6">
        <w:rPr>
          <w:rFonts w:cstheme="minorHAnsi"/>
          <w:b/>
          <w:sz w:val="20"/>
          <w:szCs w:val="20"/>
        </w:rPr>
        <w:t> </w:t>
      </w:r>
      <w:bookmarkStart w:id="5" w:name="15"/>
      <w:bookmarkEnd w:id="5"/>
      <w:r w:rsidRPr="001F55F6">
        <w:rPr>
          <w:rStyle w:val="DefaultParagraphFont"/>
          <w:rFonts w:ascii="Calibri" w:eastAsia="Calibri" w:hAnsi="Calibri" w:cs="Calibri"/>
          <w:b/>
          <w:i w:val="0"/>
          <w:caps w:val="0"/>
          <w:smallCaps w:val="0"/>
          <w:strike w:val="0"/>
          <w:color w:val="auto"/>
          <w:w w:val="100"/>
          <w:sz w:val="20"/>
          <w:szCs w:val="20"/>
          <w:highlight w:val="none"/>
        </w:rPr>
        <w:t>СОКОБАЊА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7"/>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20.05.2025</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6"/>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02-23/17/6-25</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5"/>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147. став 1. тачка 8)Закона о јавним набавкама („Службени гласник“, број 91/19), наручилац доноси, одлуку о обустави поступка</w:t>
      </w:r>
    </w:p>
    <w:p w:rsidR="001F55F6" w:rsidRPr="001F55F6" w:rsidP="00A9707B" w14:paraId="2E4A0798" w14:textId="03D91676">
      <w:pPr>
        <w:spacing w:before="440" w:after="440"/>
        <w:jc w:val="center"/>
        <w:rPr>
          <w:rFonts w:cstheme="minorHAnsi"/>
          <w:b/>
          <w:sz w:val="32"/>
          <w:szCs w:val="32"/>
          <w:lang w:val="sr-Latn-BA"/>
        </w:rPr>
      </w:pPr>
      <w:r w:rsidRPr="001934FE">
        <w:rPr>
          <w:rFonts w:cstheme="minorHAnsi"/>
          <w:b/>
          <w:sz w:val="32"/>
          <w:szCs w:val="32"/>
          <w:lang w:val="sr-Latn-BA"/>
        </w:rPr>
        <w:t>ОДЛУКА О ОБУСТАВИ</w:t>
      </w:r>
    </w:p>
    <w:p w:rsidR="001F55F6" w:rsidRPr="001F55F6" w:rsidP="001F55F6" w14:paraId="2D28022D" w14:textId="44977673">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9" w:name="16"/>
      <w:bookmarkEnd w:id="9"/>
      <w:r w:rsidRPr="001F55F6">
        <w:rPr>
          <w:rStyle w:val="DefaultParagraphFont"/>
          <w:rFonts w:ascii="Calibri" w:eastAsia="Calibri" w:hAnsi="Calibri" w:cs="Calibri"/>
          <w:b/>
          <w:i w:val="0"/>
          <w:caps w:val="0"/>
          <w:smallCaps w:val="0"/>
          <w:strike w:val="0"/>
          <w:color w:val="auto"/>
          <w:w w:val="100"/>
          <w:sz w:val="20"/>
          <w:szCs w:val="20"/>
          <w:highlight w:val="none"/>
          <w:lang w:val="sr-Latn-BA"/>
        </w:rPr>
        <w:t>СПЕЦИЈАЛНА БОЛНИЦА ЗА НЕСПЕЦИФИЧНЕ ПЛУЋНЕ БОЛЕСТИ "СОКОБАЊА"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0" w:name="10"/>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23/17-25</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1" w:name="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Транспорт инфективног отпада</w:t>
      </w:r>
    </w:p>
    <w:p w:rsidR="001F55F6" w:rsidRPr="001F55F6" w:rsidP="001934FE" w14:paraId="2E1A1AD2" w14:textId="4AF86F39">
      <w:pPr>
        <w:tabs>
          <w:tab w:val="left" w:pos="3175"/>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2" w:name="8"/>
      <w:bookmarkEnd w:id="12"/>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2025/С Ф02-0016220</w:t>
      </w:r>
    </w:p>
    <w:p w:rsidR="001F55F6" w:rsidRPr="001F55F6" w:rsidP="001934FE" w14:paraId="6AD185A0" w14:textId="4AA6AFE2">
      <w:pPr>
        <w:pStyle w:val="Odjeljci"/>
        <w:tabs>
          <w:tab w:val="left" w:pos="1418"/>
          <w:tab w:val="left" w:pos="3175"/>
          <w:tab w:val="left" w:pos="4933"/>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3" w:name="A_ConType_1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3"/>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4" w:name="A_ConType_2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4"/>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5" w:name="A_ConType_3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5753A2" w14:paraId="3AFB026C" w14:textId="50B32759">
      <w:pPr>
        <w:pStyle w:val="Odjeljci"/>
        <w:tabs>
          <w:tab w:val="left" w:pos="1758"/>
        </w:tabs>
        <w:spacing w:before="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1934FE">
        <w:rPr>
          <w:rFonts w:asciiTheme="minorHAnsi" w:hAnsiTheme="minorHAnsi" w:cstheme="minorHAnsi"/>
          <w:b w:val="0"/>
          <w:sz w:val="20"/>
          <w:szCs w:val="20"/>
          <w:lang w:val="sr-Latn-BA"/>
        </w:rPr>
        <w:tab/>
      </w:r>
      <w:bookmarkStart w:id="16" w:name="17"/>
      <w:bookmarkEnd w:id="16"/>
      <w:r w:rsidRPr="001F55F6">
        <w:rPr>
          <w:rStyle w:val="DefaultParagraphFont"/>
          <w:rFonts w:ascii="Calibri" w:eastAsia="Calibri" w:hAnsi="Calibri" w:cs="Calibri"/>
          <w:b/>
          <w:i w:val="0"/>
          <w:caps w:val="0"/>
          <w:smallCaps w:val="0"/>
          <w:strike w:val="0"/>
          <w:color w:val="auto"/>
          <w:w w:val="100"/>
          <w:sz w:val="20"/>
          <w:szCs w:val="20"/>
          <w:highlight w:val="none"/>
          <w:lang w:val="sr-Latn-BA"/>
        </w:rPr>
        <w:t>90524100</w:t>
      </w:r>
    </w:p>
    <w:p w:rsidR="001F55F6" w:rsidRPr="001F55F6" w:rsidP="001934FE" w14:paraId="5FF10A8D" w14:textId="6BA478B3">
      <w:pPr>
        <w:pStyle w:val="Odjeljci"/>
        <w:spacing w:before="120"/>
        <w:ind w:left="3544" w:hanging="3544"/>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Pr="001934FE" w:rsidR="001934FE">
        <w:rPr>
          <w:rFonts w:ascii="Calibri" w:hAnsi="Calibri" w:cs="Calibri"/>
          <w:b w:val="0"/>
          <w:bCs w:val="0"/>
          <w:sz w:val="20"/>
          <w:szCs w:val="20"/>
          <w:lang w:val="sr-Latn-BA"/>
        </w:rPr>
        <w:t xml:space="preserve"> </w:t>
      </w:r>
      <w:r w:rsidR="001934FE">
        <w:rPr>
          <w:rFonts w:ascii="Calibri" w:hAnsi="Calibri" w:cs="Calibri"/>
          <w:b w:val="0"/>
          <w:bCs w:val="0"/>
          <w:sz w:val="20"/>
          <w:szCs w:val="20"/>
          <w:lang w:val="sr-Latn-BA"/>
        </w:rPr>
        <w:t>који се обуставља</w:t>
      </w:r>
      <w:r w:rsidRPr="001F55F6">
        <w:rPr>
          <w:rFonts w:asciiTheme="minorHAnsi" w:hAnsiTheme="minorHAnsi" w:cstheme="minorHAnsi"/>
          <w:b w:val="0"/>
          <w:bCs w:val="0"/>
          <w:sz w:val="20"/>
          <w:szCs w:val="20"/>
          <w:lang w:val="sr-Latn-BA"/>
        </w:rPr>
        <w:t>:</w:t>
      </w:r>
      <w:r w:rsidR="001934FE">
        <w:rPr>
          <w:rFonts w:asciiTheme="minorHAnsi" w:hAnsiTheme="minorHAnsi" w:cstheme="minorHAnsi"/>
          <w:b w:val="0"/>
          <w:bCs w:val="0"/>
          <w:sz w:val="20"/>
          <w:szCs w:val="20"/>
          <w:lang w:val="sr-Latn-BA"/>
        </w:rPr>
        <w:tab/>
      </w:r>
      <w:bookmarkStart w:id="17" w:name="1"/>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Транспорт инфективног отпада</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18" w:name="2"/>
      <w:bookmarkEnd w:id="18"/>
      <w:r w:rsidRPr="001F55F6" w:rsidR="00B84A8C">
        <w:rPr>
          <w:rStyle w:val="DefaultParagraphFont"/>
          <w:rFonts w:ascii="Calibri" w:eastAsia="Calibri" w:hAnsi="Calibri" w:cs="Calibri"/>
          <w:b/>
          <w:i w:val="0"/>
          <w:caps w:val="0"/>
          <w:smallCaps w:val="0"/>
          <w:strike w:val="0"/>
          <w:color w:val="auto"/>
          <w:w w:val="100"/>
          <w:sz w:val="20"/>
          <w:szCs w:val="20"/>
          <w:highlight w:val="none"/>
        </w:rPr>
        <w:t>1.200.000,00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19" w:name="3"/>
      <w:bookmarkEnd w:id="19"/>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A9707B" w:rsidRPr="001934FE" w:rsidP="001934FE" w14:paraId="3C53BC4E" w14:textId="746DFBD4">
      <w:pPr>
        <w:ind w:left="2268" w:hanging="2268"/>
        <w:rPr>
          <w:rStyle w:val="DefaultParagraphFont"/>
          <w:rFonts w:ascii="Calibri" w:eastAsia="Calibri" w:hAnsi="Calibri" w:cs="Calibri"/>
          <w:b/>
          <w:i w:val="0"/>
          <w:caps w:val="0"/>
          <w:smallCaps w:val="0"/>
          <w:strike w:val="0"/>
          <w:color w:val="auto"/>
          <w:w w:val="100"/>
          <w:sz w:val="20"/>
          <w:szCs w:val="20"/>
          <w:highlight w:val="none"/>
        </w:rPr>
      </w:pPr>
      <w:r>
        <w:rPr>
          <w:rFonts w:ascii="Calibri" w:hAnsi="Calibri" w:cs="Calibri"/>
          <w:sz w:val="20"/>
          <w:szCs w:val="20"/>
        </w:rPr>
        <w:t>Правни</w:t>
      </w:r>
      <w:r>
        <w:rPr>
          <w:rFonts w:ascii="Calibri" w:hAnsi="Calibri" w:cs="Calibri"/>
          <w:sz w:val="20"/>
          <w:szCs w:val="20"/>
        </w:rPr>
        <w:t xml:space="preserve"> </w:t>
      </w:r>
      <w:r>
        <w:rPr>
          <w:rFonts w:ascii="Calibri" w:hAnsi="Calibri" w:cs="Calibri"/>
          <w:sz w:val="20"/>
          <w:szCs w:val="20"/>
        </w:rPr>
        <w:t>основ</w:t>
      </w:r>
      <w:r>
        <w:rPr>
          <w:rFonts w:ascii="Calibri" w:hAnsi="Calibri" w:cs="Calibri"/>
          <w:sz w:val="20"/>
          <w:szCs w:val="20"/>
        </w:rPr>
        <w:t xml:space="preserve"> за </w:t>
      </w:r>
      <w:r>
        <w:rPr>
          <w:rFonts w:ascii="Calibri" w:hAnsi="Calibri" w:cs="Calibri"/>
          <w:sz w:val="20"/>
          <w:szCs w:val="20"/>
        </w:rPr>
        <w:t>обуставу</w:t>
      </w:r>
      <w:r>
        <w:rPr>
          <w:rFonts w:ascii="Calibri" w:hAnsi="Calibri" w:cs="Calibri"/>
          <w:sz w:val="20"/>
          <w:szCs w:val="20"/>
        </w:rPr>
        <w:t>:</w:t>
      </w:r>
      <w:r>
        <w:rPr>
          <w:rFonts w:cstheme="minorHAnsi"/>
          <w:sz w:val="20"/>
          <w:szCs w:val="20"/>
        </w:rPr>
        <w:tab/>
      </w:r>
      <w:bookmarkStart w:id="20" w:name="4"/>
      <w:bookmarkEnd w:id="20"/>
      <w:r w:rsidRPr="001934FE">
        <w:rPr>
          <w:rStyle w:val="DefaultParagraphFont"/>
          <w:rFonts w:ascii="Calibri" w:eastAsia="Calibri" w:hAnsi="Calibri" w:cs="Calibri"/>
          <w:b/>
          <w:i w:val="0"/>
          <w:caps w:val="0"/>
          <w:smallCaps w:val="0"/>
          <w:strike w:val="0"/>
          <w:color w:val="auto"/>
          <w:w w:val="100"/>
          <w:sz w:val="20"/>
          <w:szCs w:val="20"/>
          <w:highlight w:val="none"/>
        </w:rPr>
        <w:t>Члан 147. став 1. тач. 5) - ниједан кандидат не испуњава критеријуме за квалитативни избор привредног субјекта</w:t>
      </w:r>
    </w:p>
    <w:p w:rsidR="001934FE" w:rsidRPr="00A9707B" w:rsidP="001F55F6" w14:paraId="7AE6C0DA"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Транспорт инфективног отпада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23/17-25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02-23/17/2-25, 08.05.2025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1.200.000,00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90524100-Услуге прикупљања медицинског отпада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2025/С Ф02-0016220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09.05.2025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20.05.2025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Јелена Никодијевић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Ана Стојковић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Анђелковић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Транспорт инфективног отпада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извршења услуге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20.05.2025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20.05.2025 09:02:20</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АЛЕКСАНДАР МИЛИЋЕВИЋ ПРЕДУЗЕТНИК ТРЕТМАН НЕОПАСНОГ ОТПАДА АЛЕX ПРОДУЦТ РИБНИЦА, ИВЕ АНДРИЋА  358, 36000, РИБНИЦА,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0519-1/25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11.5.2025. 12:56:16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извршења услуге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АЛЕКСАНДАР МИЛИЋЕВИЋ ПРЕДУЗЕТНИК ТРЕТМАН НЕОПАСНОГ ОТПАДА АЛЕX ПРОДУЦТ РИБНИЦА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998000.00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1197600.00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испостављања исправне фактуре на систем СЕФ</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извршења услуге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АЛЕКСАНДАР МИЛИЋЕВИЋ ПРЕДУЗЕТНИК ТРЕТМАН НЕОПАСНОГ ОТПАДА АЛЕX ПРОДУЦТ РИБНИЦА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998000.00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1197600.00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испостављања исправне фактуре на систем СЕФ</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170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АЛЕКСАНДАР МИЛИЋЕВИЋ ПРЕДУЗЕТНИК ТРЕТМАН НЕОПАСНОГ ОТПАДА АЛЕX ПРОДУЦТ РИБНИЦА</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998.000,00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1.197.600,00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 Понуда привредног субјекта - Александар Милићевић предузетник, третман неопасног отпада АЛЕX ПРОДУЦТ Рибница, ул. Иве Андрића 358, 36000 Рибница, ПИБ 108459623, матични број 63467022 одбијена је као неприхватљива јер привредни субјект не поседује дозволу за транспорт опасног медицинског инфективног отпада под индексним бројем 18 01 03*.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277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Обуставља се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Правни основ за обуставу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Члан 147. став 1. тач. 5) - ниједан кандидат не испуњава критеријуме за квалитативни избор привредног субјекта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обуставе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 Понуда привредног субјекта - Александар Милићевић предузетник, третман неопасног отпада АЛЕX ПРОДУЦТ Рибница, ул. Иве Андрића 358, 36000 Рибница, ПИБ 108459623, матични број 63467022 одбијена је као неприхватљива јер привредни субјект не поседује дозволу за транспорт опасног медицинског инфективног отпада под индексним бројем 18 01 03*. </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42"/>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rFonts w:ascii="Calibri" w:eastAsia="Calibri" w:hAnsi="Calibri" w:cs="Calibri"/>
          <w:w w:val="100"/>
          <w:sz w:val="20"/>
          <w:szCs w:val="20"/>
        </w:rPr>
      </w:pPr>
      <w:bookmarkStart w:id="21" w:name="_Hlk32839505_0"/>
      <w:bookmarkStart w:id="22" w:name="1_0"/>
      <w:bookmarkEnd w:id="22"/>
      <w:r w:rsidRPr="00A37023">
        <w:rPr>
          <w:rFonts w:ascii="Calibri" w:eastAsia="Calibri" w:hAnsi="Calibri" w:cs="Calibri"/>
          <w:w w:val="100"/>
          <w:sz w:val="20"/>
          <w:szCs w:val="20"/>
        </w:rPr>
        <w:t xml:space="preserve">- Понуда привредног субјекта - Александар Милићевић предузетник, третман неопасног отпада АЛЕX ПРОДУЦТ Рибница, ул. Иве Андрића 358, 36000 Рибница, ПИБ 108459623, матични број 63467022 одбијена је као неприхватљива јер привредни субјект не поседује дозволу за транспорт опасног медицинског инфективног отпада под индексним бројем 18 01 03*.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6E13B1" w:rsidRPr="006E13B1" w:rsidP="006E13B1" w14:paraId="196D8624" w14:textId="1E8B9B8C">
            <w:pPr>
              <w:spacing w:before="120" w:after="120"/>
              <w:rPr>
                <w:rFonts w:ascii="Calibri" w:eastAsia="Calibri" w:hAnsi="Calibri" w:cs="Calibri"/>
                <w:w w:val="100"/>
                <w:sz w:val="20"/>
                <w:szCs w:val="20"/>
                <w:lang w:val="sr-Latn-BA"/>
              </w:rPr>
            </w:pPr>
            <w:r>
              <w:rPr>
                <w:rFonts w:cstheme="minorHAnsi"/>
                <w:sz w:val="20"/>
                <w:szCs w:val="20"/>
              </w:rPr>
              <w:t xml:space="preserve"> </w:t>
            </w:r>
            <w:bookmarkStart w:id="23" w:name="2_0"/>
            <w:bookmarkEnd w:id="23"/>
            <w:r w:rsidRPr="006E13B1">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21"/>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4C4D17B1">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934FE" w:rsidR="001934FE">
      <w:rPr>
        <w:caps/>
        <w:noProof/>
        <w:sz w:val="12"/>
        <w:szCs w:val="12"/>
        <w:lang w:val="hr-HR"/>
      </w:rPr>
      <w:t>ОДЛУКА О ОБУСТАВИ</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47A47"/>
    <w:rsid w:val="00064642"/>
    <w:rsid w:val="00087A93"/>
    <w:rsid w:val="00092830"/>
    <w:rsid w:val="000A667E"/>
    <w:rsid w:val="000F6975"/>
    <w:rsid w:val="00165E99"/>
    <w:rsid w:val="001934FE"/>
    <w:rsid w:val="001B4006"/>
    <w:rsid w:val="001F55F6"/>
    <w:rsid w:val="002254F5"/>
    <w:rsid w:val="002B375A"/>
    <w:rsid w:val="002B5412"/>
    <w:rsid w:val="002E6AB7"/>
    <w:rsid w:val="00316569"/>
    <w:rsid w:val="003406EF"/>
    <w:rsid w:val="00342432"/>
    <w:rsid w:val="003753D5"/>
    <w:rsid w:val="00390B66"/>
    <w:rsid w:val="003F4A2A"/>
    <w:rsid w:val="00430FB5"/>
    <w:rsid w:val="00471857"/>
    <w:rsid w:val="0048470C"/>
    <w:rsid w:val="004D3A78"/>
    <w:rsid w:val="005349E8"/>
    <w:rsid w:val="00544D4B"/>
    <w:rsid w:val="00546F24"/>
    <w:rsid w:val="005753A2"/>
    <w:rsid w:val="005924E8"/>
    <w:rsid w:val="0059265A"/>
    <w:rsid w:val="005B6EAC"/>
    <w:rsid w:val="00601DBA"/>
    <w:rsid w:val="00666AE4"/>
    <w:rsid w:val="006A4384"/>
    <w:rsid w:val="006C28AA"/>
    <w:rsid w:val="006E13B1"/>
    <w:rsid w:val="007076D2"/>
    <w:rsid w:val="00723884"/>
    <w:rsid w:val="007500EB"/>
    <w:rsid w:val="00797427"/>
    <w:rsid w:val="007B33EC"/>
    <w:rsid w:val="007E0F54"/>
    <w:rsid w:val="008C5725"/>
    <w:rsid w:val="00934E20"/>
    <w:rsid w:val="00943D6F"/>
    <w:rsid w:val="00A338C8"/>
    <w:rsid w:val="00A37023"/>
    <w:rsid w:val="00A9707B"/>
    <w:rsid w:val="00AA44B3"/>
    <w:rsid w:val="00AE028A"/>
    <w:rsid w:val="00B07D76"/>
    <w:rsid w:val="00B12B6B"/>
    <w:rsid w:val="00B36DFD"/>
    <w:rsid w:val="00B84A8C"/>
    <w:rsid w:val="00BE147A"/>
    <w:rsid w:val="00C4780E"/>
    <w:rsid w:val="00CB35CB"/>
    <w:rsid w:val="00D1225B"/>
    <w:rsid w:val="00D1691F"/>
    <w:rsid w:val="00D25CF6"/>
    <w:rsid w:val="00D4767B"/>
    <w:rsid w:val="00DE52D6"/>
    <w:rsid w:val="00DF4791"/>
    <w:rsid w:val="00EA7586"/>
    <w:rsid w:val="00F24FBF"/>
    <w:rsid w:val="00F61EC9"/>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OBR_OdlukaOObustavi</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7</cp:revision>
  <dcterms:created xsi:type="dcterms:W3CDTF">2020-02-17T14:57:00Z</dcterms:created>
  <dcterms:modified xsi:type="dcterms:W3CDTF">2022-10-13T16:21:00Z</dcterms:modified>
</cp:coreProperties>
</file>