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3F" w:rsidRPr="00601DBA" w:rsidRDefault="00441673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СПЕЦИЈАЛНА БОЛНИЦА ЗА НЕСПЕЦИФИЧНЕ ПЛУЋНЕ БОЛЕСТИ "СОКОБАЊА"</w:t>
      </w:r>
    </w:p>
    <w:p w:rsidR="00DF253F" w:rsidRPr="001F55F6" w:rsidRDefault="00441673" w:rsidP="00DF253F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bookmarkStart w:id="2" w:name="8"/>
      <w:bookmarkEnd w:id="2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100693517</w:t>
      </w:r>
    </w:p>
    <w:p w:rsidR="00DF253F" w:rsidRDefault="00441673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3" w:name="9"/>
      <w:bookmarkEnd w:id="3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ВОЈВОДЕ МИШИЋА БР.48</w:t>
      </w:r>
    </w:p>
    <w:p w:rsidR="00DF253F" w:rsidRPr="001F55F6" w:rsidRDefault="00441673" w:rsidP="00DF253F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4" w:name="10"/>
      <w:bookmarkEnd w:id="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СОКОБАЊА</w:t>
      </w:r>
    </w:p>
    <w:p w:rsidR="001F55F6" w:rsidRPr="001F55F6" w:rsidRDefault="00441673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44167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20.10.2025</w:t>
      </w:r>
    </w:p>
    <w:p w:rsidR="001F55F6" w:rsidRPr="001F55F6" w:rsidRDefault="00441673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02-23/32/6-25</w:t>
      </w:r>
    </w:p>
    <w:p w:rsidR="001F55F6" w:rsidRPr="00A9707B" w:rsidRDefault="00441673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8" w:name="2"/>
      <w:bookmarkEnd w:id="8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91/19),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 наручилац доноси, одлуку о додели уговора</w:t>
      </w:r>
    </w:p>
    <w:p w:rsidR="001F55F6" w:rsidRPr="001F55F6" w:rsidRDefault="00441673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1F55F6" w:rsidRPr="001F55F6" w:rsidRDefault="0044167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СПЕЦИЈАЛНА БОЛНИЦА ЗА НЕСПЕЦИФИЧНЕ ПЛУЋНЕ БОЛЕСТИ "СОКОБАЊА"</w:t>
      </w:r>
    </w:p>
    <w:p w:rsidR="001F55F6" w:rsidRPr="001F55F6" w:rsidRDefault="0044167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ЈН 23/32-25</w:t>
      </w:r>
    </w:p>
    <w:p w:rsidR="001F55F6" w:rsidRPr="001F55F6" w:rsidRDefault="00441673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Услуге фиксне и мобилне телефоније и интернета</w:t>
      </w:r>
    </w:p>
    <w:p w:rsidR="001F55F6" w:rsidRPr="001F55F6" w:rsidRDefault="00441673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 xml:space="preserve">Број огласа на Порталу </w:t>
      </w:r>
      <w:r w:rsidRPr="001F55F6">
        <w:rPr>
          <w:rFonts w:cstheme="minorHAnsi"/>
          <w:sz w:val="20"/>
          <w:szCs w:val="20"/>
          <w:lang w:val="sr-Latn-BA"/>
        </w:rPr>
        <w:t>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Ф02-0037399</w:t>
      </w:r>
    </w:p>
    <w:p w:rsidR="001F55F6" w:rsidRPr="001F55F6" w:rsidRDefault="00441673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41585A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1585A" w:rsidRPr="005F01C2">
        <w:rPr>
          <w:rFonts w:asciiTheme="minorHAnsi" w:hAnsiTheme="minorHAnsi" w:cstheme="minorHAnsi"/>
          <w:sz w:val="20"/>
          <w:szCs w:val="20"/>
        </w:rPr>
      </w:r>
      <w:r w:rsidR="0041585A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41585A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1585A" w:rsidRPr="00AC11B5">
        <w:rPr>
          <w:rFonts w:asciiTheme="minorHAnsi" w:hAnsiTheme="minorHAnsi" w:cstheme="minorHAnsi"/>
          <w:sz w:val="20"/>
          <w:szCs w:val="20"/>
        </w:rPr>
      </w:r>
      <w:r w:rsidR="0041585A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41585A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1585A" w:rsidRPr="00AC11B5">
        <w:rPr>
          <w:rFonts w:asciiTheme="minorHAnsi" w:hAnsiTheme="minorHAnsi" w:cstheme="minorHAnsi"/>
          <w:sz w:val="20"/>
          <w:szCs w:val="20"/>
        </w:rPr>
      </w:r>
      <w:r w:rsidR="0041585A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Default="00441673" w:rsidP="00194CD8">
      <w:pPr>
        <w:pStyle w:val="Odjeljci"/>
        <w:spacing w:before="120" w:after="60"/>
        <w:ind w:left="1758" w:hanging="1758"/>
        <w:rPr>
          <w:rFonts w:ascii="Calibri" w:eastAsia="Calibri" w:hAnsi="Calibri" w:cs="Calibri"/>
          <w:w w:val="100"/>
          <w:sz w:val="20"/>
          <w:szCs w:val="20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Fonts w:ascii="Calibri" w:eastAsia="Calibri" w:hAnsi="Calibri" w:cs="Calibri"/>
          <w:w w:val="100"/>
          <w:sz w:val="20"/>
          <w:szCs w:val="20"/>
        </w:rPr>
        <w:t>64200000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41585A" w:rsidTr="00493F14">
        <w:trPr>
          <w:trHeight w:val="872"/>
        </w:trPr>
        <w:tc>
          <w:tcPr>
            <w:tcW w:w="10205" w:type="dxa"/>
          </w:tcPr>
          <w:p w:rsidR="00246D5A" w:rsidRPr="001F55F6" w:rsidRDefault="00441673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5"/>
            <w:bookmarkEnd w:id="1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6"/>
            <w:bookmarkEnd w:id="1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Фиксна и мобилна телефонија</w:t>
            </w:r>
          </w:p>
          <w:p w:rsidR="00246D5A" w:rsidRPr="00B84A8C" w:rsidRDefault="00441673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7"/>
            <w:bookmarkEnd w:id="2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890.000,00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8"/>
            <w:bookmarkEnd w:id="2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441673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>Уговор се додељује</w:t>
            </w:r>
            <w:bookmarkStart w:id="22" w:name="22"/>
            <w:bookmarkEnd w:id="22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41585A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441673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Телеком Србија а.д.,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100002887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Таковска, 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(Палилула)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44167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890.000,00</w:t>
            </w:r>
          </w:p>
          <w:p w:rsidR="00246D5A" w:rsidRPr="00B84A8C" w:rsidRDefault="0044167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1.068.000,00</w:t>
            </w:r>
          </w:p>
          <w:p w:rsidR="00246D5A" w:rsidRPr="00DF253F" w:rsidRDefault="00441673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441673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4"/>
            <w:bookmarkEnd w:id="32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Привредни субјект је испунио све услове наведене у конкурсној документацији, тако да је понуда у потпуности прихватљива.</w:t>
            </w:r>
          </w:p>
        </w:tc>
      </w:tr>
      <w:tr w:rsidR="0041585A" w:rsidTr="00493F14">
        <w:trPr>
          <w:trHeight w:val="872"/>
        </w:trPr>
        <w:tc>
          <w:tcPr>
            <w:tcW w:w="10205" w:type="dxa"/>
          </w:tcPr>
          <w:p w:rsidR="00246D5A" w:rsidRPr="001F55F6" w:rsidRDefault="00441673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 xml:space="preserve">Број и назив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30"/>
            <w:bookmarkEnd w:id="33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1"/>
            <w:bookmarkEnd w:id="34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Интернет</w:t>
            </w:r>
          </w:p>
          <w:p w:rsidR="00246D5A" w:rsidRPr="00B84A8C" w:rsidRDefault="00441673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2"/>
            <w:bookmarkEnd w:id="35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810.000,00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3"/>
            <w:bookmarkEnd w:id="36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441673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>Уговор се додељује</w:t>
            </w:r>
            <w:bookmarkStart w:id="37" w:name="37"/>
            <w:bookmarkEnd w:id="37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:rsidR="0041585A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441673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Телеком Србија а.д.,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100002887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Таковска, 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(Палилула)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44167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802.836,00</w:t>
            </w:r>
          </w:p>
          <w:p w:rsidR="00246D5A" w:rsidRPr="00B84A8C" w:rsidRDefault="00441673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963.403,08</w:t>
            </w:r>
          </w:p>
          <w:p w:rsidR="00246D5A" w:rsidRPr="00DF253F" w:rsidRDefault="00441673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441673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29"/>
            <w:bookmarkEnd w:id="47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Привредни субјект је испунио све услове наведене у конкурсној документацији, тако да је понуда у потпуности прихватљива.</w:t>
            </w:r>
          </w:p>
        </w:tc>
      </w:tr>
      <w:bookmarkEnd w:id="1"/>
    </w:tbl>
    <w:p w:rsidR="00246D5A" w:rsidRDefault="00246D5A" w:rsidP="00194CD8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R="00246D5A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41585A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41585A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585A">
        <w:trPr>
          <w:trHeight w:val="40"/>
        </w:trPr>
        <w:tc>
          <w:tcPr>
            <w:tcW w:w="15397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1585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41585A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Услуге фиксне и мобилне телефоније и интернета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23/32-25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02-23/32/2-25, 03.10.2025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Процењена </w:t>
                  </w:r>
                  <w:r>
                    <w:rPr>
                      <w:color w:val="000000"/>
                      <w:sz w:val="20"/>
                      <w:szCs w:val="20"/>
                    </w:rPr>
                    <w:t>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1.700.000,00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64200000-Телекомуникационе услуге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Ф02-0037399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07.10.2025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20.10.2025 10:00:00</w:t>
                  </w:r>
                </w:p>
              </w:tc>
            </w:tr>
          </w:tbl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1585A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41585A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Чланови комисије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за јавну набавку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Ђорђевић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</w:tbl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1585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41585A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41585A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41585A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Интернет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810.000,00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85A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1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захтева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1585A">
              <w:trPr>
                <w:trHeight w:val="6803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41585A"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Фиксна и мобилна телефонија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890.000,00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 и критеријума квалитета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Пондер за цену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85A">
                    <w:trPr>
                      <w:trHeight w:val="4081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1"/>
                          <w:gridCol w:w="2840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Критеријуми квалитета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критеријума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Пондер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Фиксна телефонија-цена претплате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Фиксна телефонија-цена разговора између службених фиксних бројева и службених мобилних бројева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Фиксна телефонија-цена разговора у националном саобраћају ка фиксним бројевима по 1 минуту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Фиксна телефонија-цена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разговора по 1 минуту у националном саобраћају са мобилном мрежом понуђача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Фиксна телефонија- цена разговора по 1 минуту у нациналном саобраћају према осталим мобилним мрежама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Мобилна телефонија - месечна претплата по претплатничком мобилном броју (з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 бројеве који немају активиране пакете)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Мобилна телефонија-цена разговора у мрежи оператера по 1 секунди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Мобилна телефонија-цена разговора у националном саобраћају ван мреже оператера по 1 секунди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Мобилна телефонија-пакет услуга: Неограничено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позивање и слање СМС порука ка свим мрежама у Србији, 50ГБ Интернета, без додатне наплате након потрошеног саобраћаја у оквиру месечне накнаде, 16ГБ интернета у Зони 0,50 минута разговора и 2ГБ интернета у ромингу, избор мобилног интернет додатка од 4ГБ у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трајању од 15 дана 4 пута за време трајања уговора у терминима по избору наручиоца, неограничен роминг у мтелЦГ и БИХ, неограничени минути ка м:тел Аустрија, Црна Гора, Босна и Херцеговина, Северна Македонија, Немачка и Швајцарска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Мобилна телефонија-па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кет услуга: Неограничено позивање и слање СМС порука ка свим мрежама у Србији, 9ГБ интернета, без додатне наплате након потрошеног саобраћаја у оквиру месечне накнаде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85A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1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Буџет за набавку мобилних телефона 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1585A">
        <w:trPr>
          <w:trHeight w:val="56"/>
        </w:trPr>
        <w:tc>
          <w:tcPr>
            <w:tcW w:w="15397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41585A" w:rsidRDefault="0044167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41585A" w:rsidRDefault="0041585A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41585A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41585A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20.10.2025 10:00:00</w:t>
                  </w:r>
                </w:p>
              </w:tc>
            </w:tr>
            <w:tr w:rsidR="0041585A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20.10.2025 10:08:52</w:t>
                  </w:r>
                </w:p>
              </w:tc>
            </w:tr>
            <w:tr w:rsidR="0041585A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41585A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8"/>
                          <w:gridCol w:w="11570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Фиксна и мобилна телефонија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20"/>
                          <w:gridCol w:w="1399"/>
                          <w:gridCol w:w="2840"/>
                        </w:tblGrid>
                        <w:tr w:rsidR="0041585A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Ознака /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Телеком Србија а.д., Београд, Таковска, 2, 11000, Београд (Палилула),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450352/1-2025  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16.10.2025. 10:13:16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1585A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41585A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Интернет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3"/>
                          <w:gridCol w:w="2246"/>
                          <w:gridCol w:w="2220"/>
                          <w:gridCol w:w="1399"/>
                          <w:gridCol w:w="2840"/>
                        </w:tblGrid>
                        <w:tr w:rsidR="0041585A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Телеком Србија а.д., Београд, Таковска, 2, 11000, Београд (Палилула),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450352/2-2025  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16.10.2025. 10:13:16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1585A">
        <w:trPr>
          <w:trHeight w:val="62"/>
        </w:trPr>
        <w:tc>
          <w:tcPr>
            <w:tcW w:w="15397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41585A" w:rsidRDefault="00441673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41585A" w:rsidRDefault="0041585A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411"/>
        <w:gridCol w:w="5371"/>
        <w:gridCol w:w="179"/>
      </w:tblGrid>
      <w:tr w:rsidR="0041585A">
        <w:tc>
          <w:tcPr>
            <w:tcW w:w="20782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0743"/>
            </w:tblGrid>
            <w:tr w:rsidR="0041585A">
              <w:trPr>
                <w:trHeight w:val="382"/>
              </w:trPr>
              <w:tc>
                <w:tcPr>
                  <w:tcW w:w="20783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Аналитички приказ поднетих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понуда</w:t>
                  </w:r>
                </w:p>
              </w:tc>
            </w:tr>
            <w:tr w:rsidR="0041585A">
              <w:trPr>
                <w:trHeight w:val="1020"/>
              </w:trPr>
              <w:tc>
                <w:tcPr>
                  <w:tcW w:w="2078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0743"/>
                  </w:tblGrid>
                  <w:tr w:rsidR="0041585A">
                    <w:trPr>
                      <w:trHeight w:val="1020"/>
                    </w:trPr>
                    <w:tc>
                      <w:tcPr>
                        <w:tcW w:w="2078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25"/>
                          <w:gridCol w:w="1099"/>
                          <w:gridCol w:w="1099"/>
                          <w:gridCol w:w="1098"/>
                          <w:gridCol w:w="1125"/>
                          <w:gridCol w:w="1125"/>
                          <w:gridCol w:w="1125"/>
                          <w:gridCol w:w="1132"/>
                          <w:gridCol w:w="1132"/>
                          <w:gridCol w:w="1332"/>
                          <w:gridCol w:w="1125"/>
                          <w:gridCol w:w="1132"/>
                          <w:gridCol w:w="1156"/>
                          <w:gridCol w:w="1156"/>
                          <w:gridCol w:w="1113"/>
                          <w:gridCol w:w="1110"/>
                          <w:gridCol w:w="1102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Фиксна и мобилна телефонија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11330" w:type="dxa"/>
                              <w:gridSpan w:val="10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Критеријуми квалитета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Фиксна телефонија- цена разговора по 1 минуту у нациналном саобраћају према осталим мобилним мрежама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Фиксна телефонија-цена претплате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Фиксна телефонија-цена разговора између службених фиксних бројева и службених мобилних бројева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Фиксна телефонија-цена разговора по 1 минуту у националном саобраћају са мобилном мрежом понуђача [Динар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Фиксна телефонија-цена разговора у националном саобраћају ка фиксним бројевима по 1 минуту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Мобилна телефонија - месечна претплата по претплатничком мобилном броју (за бројеве који немају активиране пакете)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Мобилна телефонија-цена разговор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 у мрежи оператера по 1 секунди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Мобилна телефонија-цена разговора у националном саобраћају ван мреже оператера по 1 секунди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Мобилна телефонија-пакет услуга: Неограничено позивање и слање СМС порука ка свим мрежама у Србији, 50ГБ Интернета,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без додатне наплате након потрошеног саобраћаја у оквиру месечне накнаде, 16ГБ интернета у Зони 0,50 минута разговора и 2ГБ интернета у ромингу, избор мобилног интернет додатка од 4ГБ у трајању од 15 дана 4 пута за време трајања уговора у терминима по изб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ору наручиоца, неограничен роминг у мтелЦГ и БИХ, неограничени минути ка м:тел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Аустрија, Црна Гора, Босна и Херцеговина, Северна Македонија, Немачка и Швајцарска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Мобилна телефонија-пакет услуга: Неограничено позивање и слање СМС порука ка свим мреж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ама у Србији, 9ГБ интернета, без додатне наплате након потрошеног саобраћаја у оквиру месечне накнаде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Буџет за набавку мобилних телефона 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Телеком Србија а.д.,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5883.66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7060.38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549.17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0.05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0.10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3208.33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1875.00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пријема исправне фактуре, уплатом на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1585A">
              <w:trPr>
                <w:trHeight w:val="1020"/>
              </w:trPr>
              <w:tc>
                <w:tcPr>
                  <w:tcW w:w="2078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33"/>
                    <w:gridCol w:w="11310"/>
                  </w:tblGrid>
                  <w:tr w:rsidR="0041585A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4"/>
                          <w:gridCol w:w="1128"/>
                          <w:gridCol w:w="1128"/>
                          <w:gridCol w:w="1125"/>
                          <w:gridCol w:w="1128"/>
                          <w:gridCol w:w="1127"/>
                          <w:gridCol w:w="1126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Интернет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Телеком Србија а.д.,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802836.00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963403.08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пријема исправне фактуре, уплатом на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38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1585A">
        <w:trPr>
          <w:trHeight w:val="50"/>
        </w:trPr>
        <w:tc>
          <w:tcPr>
            <w:tcW w:w="15411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371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1585A">
        <w:tc>
          <w:tcPr>
            <w:tcW w:w="20782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0743"/>
            </w:tblGrid>
            <w:tr w:rsidR="0041585A">
              <w:trPr>
                <w:trHeight w:val="382"/>
              </w:trPr>
              <w:tc>
                <w:tcPr>
                  <w:tcW w:w="20783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41585A">
              <w:trPr>
                <w:trHeight w:val="1020"/>
              </w:trPr>
              <w:tc>
                <w:tcPr>
                  <w:tcW w:w="2078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0743"/>
                  </w:tblGrid>
                  <w:tr w:rsidR="0041585A">
                    <w:trPr>
                      <w:trHeight w:val="1020"/>
                    </w:trPr>
                    <w:tc>
                      <w:tcPr>
                        <w:tcW w:w="2078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25"/>
                          <w:gridCol w:w="1099"/>
                          <w:gridCol w:w="1099"/>
                          <w:gridCol w:w="1098"/>
                          <w:gridCol w:w="1125"/>
                          <w:gridCol w:w="1125"/>
                          <w:gridCol w:w="1125"/>
                          <w:gridCol w:w="1132"/>
                          <w:gridCol w:w="1132"/>
                          <w:gridCol w:w="1332"/>
                          <w:gridCol w:w="1125"/>
                          <w:gridCol w:w="1132"/>
                          <w:gridCol w:w="1156"/>
                          <w:gridCol w:w="1156"/>
                          <w:gridCol w:w="1113"/>
                          <w:gridCol w:w="1110"/>
                          <w:gridCol w:w="1102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партије: Фиксна и мобилна телефонија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11330" w:type="dxa"/>
                              <w:gridSpan w:val="10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Критеријуми квалитета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Фиксна телефонија- цена разговора по 1 минуту у нациналном саобраћају према осталим мобилним мрежама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Фиксна телефонија-цена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претплате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Фиксна телефонија-цена разговора између службених фиксних бројева и службених мобилних бројева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Фиксна телефонија-цена разговора по 1 минуту у националном саобраћају са мобилном мрежом понуђача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Фиксна телефонија-цена разгов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ора у националном саобраћају ка фиксним бројевима по 1 минуту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Мобилна телефонија - месечна претплата по претплатничком мобилном броју (за бројеве који немају активиране пакете)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Мобилна телефонија-цена разговора у мрежи оператера по 1 секунд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Мобилна телефонија-цена разговора у националном саобраћају ван мреже оператера по 1 секунди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Мобилна телефонија-пакет услуга: Неограничено позивање и слање СМС порука ка свим мрежама у Србији, 50ГБ Интернета, без додатне наплате након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потрошеног саобраћаја у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 xml:space="preserve">оквиру месечне накнаде, 16ГБ интернета у Зони 0,50 минута разговора и 2ГБ интернета у ромингу, избор мобилног интернет додатка од 4ГБ у трајању од 15 дана 4 пута за време трајања уговора у терминима по избору наручиоца, неограничен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роминг у мтелЦГ и БИХ, неограничени минути ка м:тел Аустрија, Црна Гора, Босна и Херцеговина, Северна Македонија, Немачка и Швајцарска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Мобилна телефонија-пакет услуга: Неограничено позивање и слање СМС порука ка свим мрежама у Србији, 9ГБ интернета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, без додатне наплате након потрошеног саобраћаја у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оквиру месечне накнаде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Буџет за набавку мобилних телефона  [Динар]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Телеком Србија а.д.,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5883.66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7060.38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549.17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0.05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0.10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3208.33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1875.00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пријема исправне фактуре, уплатом на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1585A">
              <w:trPr>
                <w:trHeight w:val="1020"/>
              </w:trPr>
              <w:tc>
                <w:tcPr>
                  <w:tcW w:w="2078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33"/>
                    <w:gridCol w:w="11310"/>
                  </w:tblGrid>
                  <w:tr w:rsidR="0041585A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4"/>
                          <w:gridCol w:w="1128"/>
                          <w:gridCol w:w="1128"/>
                          <w:gridCol w:w="1125"/>
                          <w:gridCol w:w="1128"/>
                          <w:gridCol w:w="1127"/>
                          <w:gridCol w:w="1126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Интернет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понуде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Телеком Србија а.д.,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802836.00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963403.08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пријема исправне фактуре, уплатом на рачун понуђача.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38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1585A">
        <w:trPr>
          <w:trHeight w:val="48"/>
        </w:trPr>
        <w:tc>
          <w:tcPr>
            <w:tcW w:w="15411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371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1585A">
        <w:tc>
          <w:tcPr>
            <w:tcW w:w="15411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2"/>
            </w:tblGrid>
            <w:tr w:rsidR="0041585A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585A" w:rsidRDefault="00441673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41585A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9"/>
                    <w:gridCol w:w="13"/>
                  </w:tblGrid>
                  <w:tr w:rsidR="0041585A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1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Фиксна и мобилна телефонија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2819"/>
                          <w:gridCol w:w="2816"/>
                          <w:gridCol w:w="2141"/>
                          <w:gridCol w:w="2141"/>
                          <w:gridCol w:w="897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Одбијено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Телеком Србија а.д.,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5.883,66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7.060,38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1585A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9"/>
                    <w:gridCol w:w="13"/>
                  </w:tblGrid>
                  <w:tr w:rsidR="0041585A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1"/>
                          <w:gridCol w:w="11571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Интернет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8"/>
                          <w:gridCol w:w="2816"/>
                          <w:gridCol w:w="2143"/>
                          <w:gridCol w:w="2143"/>
                          <w:gridCol w:w="897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Телеком Србија а.д.,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802.836,00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963.403,08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71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1585A">
        <w:trPr>
          <w:trHeight w:val="14"/>
        </w:trPr>
        <w:tc>
          <w:tcPr>
            <w:tcW w:w="15411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371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1585A">
        <w:tc>
          <w:tcPr>
            <w:tcW w:w="15411" w:type="dxa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 w:rsidR="0041585A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41585A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7"/>
                          <w:gridCol w:w="11591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Фиксна и мобилна телефонија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41585A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158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1585A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158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5"/>
                          <w:gridCol w:w="1896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Телеком Србија а.д.,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Цена: 20,00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Фиксна телефонија-цена претплате: 10,00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Фиксна телефонија-цена разговора између службених фиксних бројева и службених мобилних бројева: 5,00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Фиксна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телефонија-цена разговора у националном саобраћају ка фиксним бројевима по 1 минуту: 5,00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Фиксна телефонија-цена разговора по 1 минуту у националном саобраћају са мобилном мрежом понуђача: 5,00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Фиксна телефонија- цена разговора по 1 минуту у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нациналном саобраћају према осталим мобилним мрежама: 5,00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 xml:space="preserve">Мобилна телефонија - месечна претплата по претплатничком мобилном броју (за бројеве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који немају активиране пакете): 10,00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Мобилна телефонија-цена разговора у мрежи оператера по 1 секу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нди: 10,00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Мобилна телефонија-цена разговора у националном саобраћају ван мреже оператера по 1 секунди: 10,00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Мобилна телефонија-пакет услуга: Неограничено позивање и слање СМС порука ка свим мрежама у Србији, 50ГБ Интернета, без додатне напл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ате након потрошеног саобраћаја у оквиру месечне накнаде, 16ГБ интернета у Зони 0,50 минута разговора и 2ГБ интернета у ромингу, избор мобилног интернет додатка од 4ГБ у трајању од 15 дана 4 пута за време трајања уговора у терминима по избору наручиоца, не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ограничен роминг у мтелЦГ и БИХ, неограничени минути ка м:тел Аустрија, Црна Гора, Босна и Херцеговина, Северна Македонија, Немачка и Швајцарска: 10,00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Мобилна телефонија-пакет услуга: Неограничено позивање и слање СМС порука ка свим мрежама у Србиј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и, 9ГБ интернета, без додатне наплате након потрошеног саобраћаја у оквиру месечне накнаде: 10,00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Укупно: 100,00 бодова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ДА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све услове наведене у конкурсној документацији, тако да је понуда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у потпуности прихватљива.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1585A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41585A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Интернет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41585A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158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1585A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1585A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Телеком Србија а.д.,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802.836,00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41585A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1585A" w:rsidRDefault="00441673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све услове наведене у конкурсној документацији, тако да је понуда у потпуности прихватљива.</w:t>
                              </w:r>
                            </w:p>
                          </w:tc>
                        </w:tr>
                      </w:tbl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41585A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41585A" w:rsidRDefault="0041585A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41585A" w:rsidRDefault="0041585A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71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41585A">
        <w:trPr>
          <w:trHeight w:val="523"/>
        </w:trPr>
        <w:tc>
          <w:tcPr>
            <w:tcW w:w="15411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371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41585A" w:rsidRDefault="0041585A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41585A" w:rsidRDefault="0041585A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41585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22209" w:h="11905" w:orient="landscape"/>
          <w:pgMar w:top="566" w:right="566" w:bottom="566" w:left="680" w:header="0" w:footer="0" w:gutter="0"/>
          <w:cols w:space="720"/>
        </w:sectPr>
      </w:pPr>
    </w:p>
    <w:p w:rsidR="00A9707B" w:rsidRPr="003B6A19" w:rsidRDefault="00441673" w:rsidP="008C5725">
      <w:pPr>
        <w:rPr>
          <w:sz w:val="20"/>
          <w:szCs w:val="20"/>
        </w:rPr>
      </w:pPr>
      <w:bookmarkStart w:id="48" w:name="2_0"/>
      <w:bookmarkStart w:id="49" w:name="_Hlk32839505_0"/>
      <w:bookmarkEnd w:id="48"/>
      <w:r>
        <w:rPr>
          <w:rFonts w:ascii="Calibri" w:eastAsia="Calibri" w:hAnsi="Calibri" w:cs="Calibri"/>
          <w:w w:val="100"/>
          <w:sz w:val="20"/>
          <w:szCs w:val="20"/>
        </w:rPr>
        <w:lastRenderedPageBreak/>
        <w:t>Одлука о додели уговора за партију 1 је донета на основу цене и критеријума квалитета, а уговор ће бити закључен на процењену вредност наручиоца.</w:t>
      </w:r>
    </w:p>
    <w:p w:rsidR="0041585A" w:rsidRDefault="00441673" w:rsidP="008C5725">
      <w:pPr>
        <w:rPr>
          <w:rFonts w:ascii="Calibri" w:eastAsia="Calibri" w:hAnsi="Calibri" w:cs="Calibri"/>
          <w:w w:val="100"/>
          <w:sz w:val="20"/>
          <w:szCs w:val="20"/>
        </w:rPr>
      </w:pPr>
      <w:r>
        <w:rPr>
          <w:rFonts w:ascii="Calibri" w:eastAsia="Calibri" w:hAnsi="Calibri" w:cs="Calibri"/>
          <w:w w:val="100"/>
          <w:sz w:val="20"/>
          <w:szCs w:val="20"/>
        </w:rPr>
        <w:t xml:space="preserve"> Одлука о додели уговора за партију 2 је донета на основу критеријума најнижа понуђена це</w:t>
      </w:r>
      <w:r>
        <w:rPr>
          <w:rFonts w:ascii="Calibri" w:eastAsia="Calibri" w:hAnsi="Calibri" w:cs="Calibri"/>
          <w:w w:val="100"/>
          <w:sz w:val="20"/>
          <w:szCs w:val="20"/>
        </w:rPr>
        <w:t>на.</w:t>
      </w:r>
    </w:p>
    <w:p w:rsidR="0041585A" w:rsidRDefault="0041585A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41585A" w:rsidTr="008D1CC9">
        <w:tc>
          <w:tcPr>
            <w:tcW w:w="10342" w:type="dxa"/>
          </w:tcPr>
          <w:p w:rsidR="008D1CC9" w:rsidRPr="00F61EC9" w:rsidRDefault="00441673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8D1CC9" w:rsidRPr="008D1CC9" w:rsidRDefault="00441673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50" w:name="1_0"/>
            <w:bookmarkEnd w:id="50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49"/>
    <w:p w:rsidR="0013028D" w:rsidRDefault="0013028D" w:rsidP="0013028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8D1CC9" w:rsidSect="007E5EF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673" w:rsidRDefault="00441673" w:rsidP="0041585A">
      <w:pPr>
        <w:spacing w:before="0" w:after="0"/>
      </w:pPr>
      <w:r>
        <w:separator/>
      </w:r>
    </w:p>
  </w:endnote>
  <w:endnote w:type="continuationSeparator" w:id="1">
    <w:p w:rsidR="00441673" w:rsidRDefault="00441673" w:rsidP="0041585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673" w:rsidRDefault="00441673" w:rsidP="0041585A">
      <w:pPr>
        <w:spacing w:before="0" w:after="0"/>
      </w:pPr>
      <w:r>
        <w:separator/>
      </w:r>
    </w:p>
  </w:footnote>
  <w:footnote w:type="continuationSeparator" w:id="1">
    <w:p w:rsidR="00441673" w:rsidRDefault="00441673" w:rsidP="0041585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Default="0041585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3028D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1585A"/>
    <w:rsid w:val="00430FB5"/>
    <w:rsid w:val="00441673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5A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41585A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Windows korisnik</cp:lastModifiedBy>
  <cp:revision>15</cp:revision>
  <cp:lastPrinted>2025-10-20T10:08:00Z</cp:lastPrinted>
  <dcterms:created xsi:type="dcterms:W3CDTF">2021-01-19T16:38:00Z</dcterms:created>
  <dcterms:modified xsi:type="dcterms:W3CDTF">2025-10-20T10:09:00Z</dcterms:modified>
</cp:coreProperties>
</file>