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16.12.2025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02-23/38/7-25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ugovora.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23/38-25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Radne uniforme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F02-0046960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18110000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Zaštitna uniforma za radnike obezbeđenja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42.000,00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PATROL PM DOO NIŠ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109639983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STANOJA GLAVAŠA, 10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Niš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18000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41.200,00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49.440,00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5102"/>
        <w:gridCol w:w="10284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Radne uniforme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23/38-25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02-23/38/2-25, 02.12.2025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542.000,00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18110000-Radna odeća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2025/S F02-0046960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16.12.2025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Biljana Veljković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Jelena Nikodijević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Zaštitna uniforma za radnike obezbeđenja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42.000,00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109639983</w:t>
                    <w:br/>
                    <w:t>PATROL PM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100170658</w:t>
                    <w:br/>
                    <w:t>MARTINČEVIĆ DOO BEOGRAD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16.12.2025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16.12.2025 09:01:28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Zaštitna uniforma za radnike obezbeđenja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PATROL PM DOO NIŠ, STANOJA GLAVAŠA, 10,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89/25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10.12.2025. 12:54:54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Zaštitna uniforma za radnike obezbeđenja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PATROL PM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49440.00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virmanom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Zaštitna uniforma za radnike obezbeđenja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PATROL PM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49440.00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virmanom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Zaštitna uniforma za radnike obezbeđenja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PATROL PM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41.200,00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49.440,00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Zaštitna uniforma za radnike obezbeđenja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PATROL PM DOO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41.200,00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