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02-23/2/22-26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Месни производи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3.200.000,00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ДОО МАКИНТЕРНАЦИОНАЛ 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100335908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Драгише Цветковић бр.15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2.810.000,00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3.381.600,00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3.200.000,00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ЦМАНА ДОО, БУЛЕВАР ОСЛОБОЂЕЊА, 16, 11319, КРЊЕВО,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1069/1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6.3.2026. 11:52:31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ПАРАЋИН, БОВАНСКА 8, 35250, ПАРАЋИН,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6.3.2026. 14:02:38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ПАЛАНКА, И српског устанка 116/3, 11420, Смедеревска Паланка,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0903/26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09:25:08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ШАШИНЦИ, Змај Јовина, 13, 22425, Шашинци,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11:13:31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ДАКОМ ДОО МРАМОР, МРАМОР, бб, 18251, Мрамор,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12:56:24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МИХАЈЛОВИЋ БЕНЗИНСКЕ СТАНИЦЕ ДОО, БРАНКА КРСМАНОВИЋА, 11, 35255, ДОЊА МУТНИЦА,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16/Т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8.3.2026. 13:33:23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МАКИНТЕРНАЦИОНАЛ НИШ, Драгише Цветковић бр.15,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9.3.2026. 00:48:18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Месни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3017900.00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3621480.00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3836400.00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пријема фактуре,на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3381600.00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2871500.00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3445800.00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генерисања фактуре у СЕФ-у, уплатом на текући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4471920.00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3255500.00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текуци рацун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3526650.00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4231980.00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Месни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3017900.00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3621480.00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3836400.00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пријема фактуре,на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3381600.00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2871500.00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3445800.00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генерисања фактуре у СЕФ-у, уплатом на текући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4471920.00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3255500.00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текуци рацун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3526650.00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4231980.00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46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Месни производи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3.017.900,00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3.621.480,00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2.871.500,00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3.445.800,00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3.526.650,00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4.231.980,00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Предузеће за унутрашњу и спољну трговину на велико и мало, угоститељство и пружање занатских услуга Паланка промет доо, Смедеревска Паланка, ул. И српског устанка 116/3, 11420 Смедеревска Паланка,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3.726.600,00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4.471.920,00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Кланица прерада меса и трговина Недељковић, Недељковић Радослав, предузетник, Шашинци, ул. Змај Јовина 13, 22425 Шашинци,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3.197.000,00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3.836.400,00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3.255.500,00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3.906.600,00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понуђача МИХАЈЛОВИЋ БЕНЗИНСКЕ СТАНИЦЕ ДОО, Бранка Крсмановића 11, 35255 Доња Мутница, одбијена је као неприхватљива, јер прелази износ процењене вредности предмета јавне набавке.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2.810.000,00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3.381.600,00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2.810.000,00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2.871.500,00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3.017.900,00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3.197.000,00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