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05.05.2026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02-23/20/237-25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23/20-25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F02-0018480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Tehnički materijal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4.200.000,00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LIPA DOO VRANJE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100405324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Južnomoravska, 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Vranje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17500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36.450,00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43.740,00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11225"/>
        <w:gridCol w:w="4161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23/20-25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Postupak dodele ugovora na osnovu sistema dinamične nabavke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4.200.000,00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44100000-Građevinski materijali i pripadajući proizvodi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Tehnički materijal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dobara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23.04.2026 14:00:13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1225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104209367</w:t>
                    <w:br/>
                    <w:t>JOVSTA D.O.O.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100335334</w:t>
                    <w:br/>
                    <w:t>ELMAKS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110055078</w:t>
                    <w:br/>
                    <w:t>UGOTEHNA 037 DOO KRUŠEVAC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100012105</w:t>
                    <w:br/>
                    <w:t>ELECOM SISTEM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107379612</w:t>
                    <w:br/>
                    <w:t>VEGOCHEM 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107659818</w:t>
                    <w:br/>
                    <w:t>IBREA DOO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100405324</w:t>
                    <w:br/>
                    <w:t>LIPA DOO VRANJE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DOO STEFKOM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101858903</w:t>
                    <w:br/>
                    <w:t>INTER-WOOD DOO NIŠ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MILJAN BOGOJEVIĆ PR TRGOVINSKA RADNJA UZOR KOMPANI SOKOBANJA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114440312</w:t>
                    <w:br/>
                    <w:t>EGAL 011 D.O.O.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Tehnički materijal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05.05.2026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05.05.2026 09:00:54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VRANJE, Južnomoravska, 5, 17500, Vranje,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656/26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1.5.2026. 21:02:16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DOO, IVE LOLE RIBARA, 10, 32300, Gornji Milanovac,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0505 -4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4.5.2026. 10:43:47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D.O.O., SOLUNSKIH BORACA, 3, 11000, BEOGRAD (ČUKARICA),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05-05/2026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5.5.2026. 08:35:17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65748.00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78897.60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dana,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dobara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65748.00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78897.60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dana, virmanom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43740.00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36.450,00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43.740,00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65.748,00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78.897,60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79.200,00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LIPA DOO VRANJE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36.450,00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IBREA DOO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65.748,00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EGAL 011 D.O.O.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sz w:val="20"/>
          <w:szCs w:val="20"/>
        </w:rPr>
        <w:t>Najniža ponuđena cena. Ponuda ponuđača u potpunosti ispunjava sve zahteve naručioca.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