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9E" w:rsidRPr="00601DBA" w:rsidRDefault="00BC08C9" w:rsidP="003A109E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19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СПЕЦИЈАЛНА БОЛНИЦА ЗА НЕСПЕЦИФИЧНЕ ПЛУЋНЕ БОЛЕСТИ "СОКОБАЊА"</w:t>
      </w:r>
    </w:p>
    <w:p w:rsidR="003A109E" w:rsidRPr="001F55F6" w:rsidRDefault="00BC08C9" w:rsidP="003A109E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bookmarkStart w:id="3" w:name="20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100693517</w:t>
      </w:r>
    </w:p>
    <w:p w:rsidR="003A109E" w:rsidRDefault="00BC08C9" w:rsidP="003A109E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1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ВОЈВОДЕ МИШИЋА БР.48</w:t>
      </w:r>
    </w:p>
    <w:p w:rsidR="003A109E" w:rsidRPr="001F55F6" w:rsidRDefault="00BC08C9" w:rsidP="003A109E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2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СОКОБАЊА</w:t>
      </w:r>
    </w:p>
    <w:bookmarkEnd w:id="1"/>
    <w:p w:rsidR="001F55F6" w:rsidRPr="001F55F6" w:rsidRDefault="00BC08C9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BC08C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06.05.2026</w:t>
      </w:r>
    </w:p>
    <w:p w:rsidR="001F55F6" w:rsidRPr="001F55F6" w:rsidRDefault="00BC08C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02-23/11/11-26</w:t>
      </w:r>
    </w:p>
    <w:p w:rsidR="001F55F6" w:rsidRPr="00A9707B" w:rsidRDefault="00BC08C9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ст. 1. и 7. Закона о јавним набавкама („Службени гласник“, број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91/19 и 92/23), наручилац доноси, одлуку о закључењу оквирног споразума.</w:t>
      </w:r>
    </w:p>
    <w:p w:rsidR="001F55F6" w:rsidRPr="001F55F6" w:rsidRDefault="00BC08C9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RDefault="00BC08C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СПЕЦИЈАЛНА БОЛНИЦА ЗА НЕСПЕЦИФИЧНЕ ПЛУЋНЕ БОЛЕСТИ "СОКОБАЊА"</w:t>
      </w:r>
    </w:p>
    <w:p w:rsidR="001F55F6" w:rsidRPr="001F55F6" w:rsidRDefault="00BC08C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ЈН 23/11-26</w:t>
      </w:r>
    </w:p>
    <w:p w:rsidR="001F55F6" w:rsidRPr="001F55F6" w:rsidRDefault="00BC08C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Животне намирнице</w:t>
      </w:r>
    </w:p>
    <w:p w:rsidR="001F55F6" w:rsidRPr="001F55F6" w:rsidRDefault="00BC08C9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</w:t>
      </w:r>
      <w:r w:rsidRPr="001F55F6">
        <w:rPr>
          <w:rFonts w:cstheme="minorHAnsi"/>
          <w:sz w:val="20"/>
          <w:szCs w:val="20"/>
          <w:lang w:val="sr-Latn-BA"/>
        </w:rPr>
        <w:t xml:space="preserve">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Ф02-0011758</w:t>
      </w:r>
    </w:p>
    <w:p w:rsidR="001F55F6" w:rsidRPr="001F55F6" w:rsidRDefault="00BC08C9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16A80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16A80" w:rsidRPr="001F55F6">
        <w:rPr>
          <w:rFonts w:asciiTheme="minorHAnsi" w:hAnsiTheme="minorHAnsi" w:cstheme="minorHAnsi"/>
          <w:sz w:val="20"/>
          <w:szCs w:val="20"/>
        </w:rPr>
      </w:r>
      <w:r w:rsidR="00C16A80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16A80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16A80" w:rsidRPr="001F55F6">
        <w:rPr>
          <w:rFonts w:asciiTheme="minorHAnsi" w:hAnsiTheme="minorHAnsi" w:cstheme="minorHAnsi"/>
          <w:sz w:val="20"/>
          <w:szCs w:val="20"/>
        </w:rPr>
      </w:r>
      <w:r w:rsidR="00C16A80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16A80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16A80" w:rsidRPr="001F55F6">
        <w:rPr>
          <w:rFonts w:asciiTheme="minorHAnsi" w:hAnsiTheme="minorHAnsi" w:cstheme="minorHAnsi"/>
          <w:sz w:val="20"/>
          <w:szCs w:val="20"/>
        </w:rPr>
      </w:r>
      <w:r w:rsidR="00C16A80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BC08C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15000000</w:t>
      </w:r>
    </w:p>
    <w:p w:rsidR="001F55F6" w:rsidRPr="001F55F6" w:rsidRDefault="00BC08C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Животне намирнице</w:t>
      </w:r>
    </w:p>
    <w:p w:rsidR="001F55F6" w:rsidRPr="00B84A8C" w:rsidRDefault="00BC08C9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Процењена вредност </w:t>
      </w:r>
      <w:r w:rsidRPr="001F55F6">
        <w:rPr>
          <w:rFonts w:cstheme="minorHAnsi"/>
          <w:sz w:val="20"/>
          <w:szCs w:val="20"/>
          <w:lang w:val="sr-Latn-BA"/>
        </w:rPr>
        <w:t>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4.400.000,00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04108F" w:rsidRDefault="00BC08C9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C16A80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BC08C9" w:rsidP="00B84A8C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2" w:name="10"/>
            <w:bookmarkEnd w:id="2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ДРАГАНА СИМОНОВИЋ ПР БОГОЈЕВЦЕ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112302740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БОГОЈЕВЦЕ,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БОГОЈЕВЦЕ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16254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BC08C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="00B04555" w:rsidRP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="00B84A8C" w:rsidRPr="00B04555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3.882.791,14</w:t>
      </w:r>
    </w:p>
    <w:p w:rsidR="001F55F6" w:rsidRPr="00B84A8C" w:rsidRDefault="00BC08C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="00B04555" w:rsidRPr="003A109E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="00B84A8C" w:rsidRPr="003A109E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4.271.336,87</w:t>
      </w:r>
    </w:p>
    <w:p w:rsidR="001F55F6" w:rsidRPr="00B84A8C" w:rsidRDefault="00BC08C9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sectPr w:rsidR="001F55F6" w:rsidRPr="00B84A8C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2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1"/>
        <w:gridCol w:w="5102"/>
        <w:gridCol w:w="10284"/>
        <w:gridCol w:w="13"/>
        <w:gridCol w:w="179"/>
      </w:tblGrid>
      <w:tr w:rsidR="00C16A80"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C16A80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6A80">
        <w:trPr>
          <w:trHeight w:val="40"/>
        </w:trPr>
        <w:tc>
          <w:tcPr>
            <w:tcW w:w="11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5397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C16A80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23/11-26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02-23/11/2-26, 01.04.2026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4.400.000,00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Оквирни споразум са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једним привредним субјектом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C16A80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Ф02-0011758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03.04.2026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04.05.2026 09:00:00</w:t>
                  </w: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5410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C16A80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5397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C16A80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C16A80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C16A80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Животне намирнице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16A80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rPr>
          <w:trHeight w:val="56"/>
        </w:trPr>
        <w:tc>
          <w:tcPr>
            <w:tcW w:w="11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1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689"/>
              <w:gridCol w:w="678"/>
              <w:gridCol w:w="678"/>
            </w:tblGrid>
            <w:tr w:rsidR="00C16A80"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112302740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ДРАГАНА СИМОНОВИЋ ПР БОГОЈЕВЦЕ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104513532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ФРЕСХ ЛИНЕ ДОО, КРАЉЕВО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84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16A80" w:rsidRDefault="00BC08C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16A80" w:rsidRDefault="00C16A8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C16A8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C16A8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04.05.2026 09:00:00</w:t>
                  </w:r>
                </w:p>
              </w:tc>
            </w:tr>
            <w:tr w:rsidR="00C16A8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отварање понуда завршено у: 04.05.2026 09:03:58</w:t>
                  </w:r>
                </w:p>
              </w:tc>
            </w:tr>
            <w:tr w:rsidR="00C16A80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C16A80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16A80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6"/>
                          <w:gridCol w:w="2245"/>
                          <w:gridCol w:w="2219"/>
                          <w:gridCol w:w="1399"/>
                          <w:gridCol w:w="2839"/>
                        </w:tblGrid>
                        <w:tr w:rsidR="00C16A80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ДРАГАНА СИМОНОВИЋ ПР БОГОЈЕВЦЕ, БОГОЈЕВЦЕ, ББ, 16254, БОГОЈЕВЦЕ,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1-26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3.5.2026. 14:14:14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ХЕЛЕНИА ДОО, Петра Добрњца 101, 37000, Крушевац,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3.5.2026. 21:09:06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ФРЕСХ ЛИНЕ ДОО, КРАЉЕВО, КАРАЂОРЂЕВА, 196 б, 36000, Краљево,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110/2026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4.5.2026. 08:39:34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rPr>
          <w:trHeight w:val="62"/>
        </w:trPr>
        <w:tc>
          <w:tcPr>
            <w:tcW w:w="15397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16A80" w:rsidRDefault="00BC08C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16A80" w:rsidRDefault="00C16A8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C16A80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C16A80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приказ поднетих понуда</w:t>
                  </w:r>
                </w:p>
              </w:tc>
            </w:tr>
            <w:tr w:rsidR="00C16A80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1"/>
                    <w:gridCol w:w="5922"/>
                  </w:tblGrid>
                  <w:tr w:rsidR="00C16A80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8"/>
                          <w:gridCol w:w="1128"/>
                          <w:gridCol w:w="1128"/>
                          <w:gridCol w:w="1122"/>
                          <w:gridCol w:w="1140"/>
                          <w:gridCol w:w="1125"/>
                          <w:gridCol w:w="1123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C16A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ДРАГАНА СИМОНОВИЋ ПР БОГОЈЕВЦЕ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3882791.14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4277700.00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рачуну привредног субјекта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40 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4242600.00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4667260.00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безготовински, 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3941200.00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4335320.00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rPr>
          <w:trHeight w:val="50"/>
        </w:trPr>
        <w:tc>
          <w:tcPr>
            <w:tcW w:w="1539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C16A8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C16A80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28"/>
                    <w:gridCol w:w="5925"/>
                  </w:tblGrid>
                  <w:tr w:rsidR="00C16A80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8"/>
                          <w:gridCol w:w="1127"/>
                          <w:gridCol w:w="1127"/>
                          <w:gridCol w:w="1121"/>
                          <w:gridCol w:w="1140"/>
                          <w:gridCol w:w="1125"/>
                          <w:gridCol w:w="1123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C16A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ДРАГАНА СИМОНОВИЋ ПР БОГОЈЕВЦЕ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3882791.14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4271336.87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рачуну привредног субјекта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40 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4242600.00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4667260.00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безготовински, 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3941200.00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4335320.00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rPr>
          <w:trHeight w:val="48"/>
        </w:trPr>
        <w:tc>
          <w:tcPr>
            <w:tcW w:w="1539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C16A80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6A80" w:rsidRDefault="00BC08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C16A80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C16A80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2816"/>
                          <w:gridCol w:w="2813"/>
                          <w:gridCol w:w="2142"/>
                          <w:gridCol w:w="2142"/>
                          <w:gridCol w:w="896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ДРАГАНА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СИМОНОВИЋ ПР БОГОЈЕВЦЕ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3.882.791,14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4.271.336,87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Објашњење корекције цене: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Прегледом понуде привредног субјекта Драгана Симоновић ПР Богојевце, ул. Богојевце бб, 16254 Богојевце, ПИБ 112302740, матични број 66012212, Комисија за јавне набавке 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утврдила да је привредни субјект  у „обрасцу структуре цена“ за више ставки унео погрешан износ јединичне цене са ПДВ-ом. Контролом наведеног обрасца структуре цене Комисија је утврдила да исправком јединичних цена са ПДВ-ом,  укупна цена за партију - Воћ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е, поврће и сродни производи треба да износи 4.271.336,87 динара са ПДВ-ом, а не 4.277.700,00 динара како стоји у обрасцу, те је дана 04.05.2026.године комисија упутила захтев за сагласност за исправку рачунске грешке.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Дана 04.05.2026. године привредни суб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јект Драгана Симоновић ПР Богојевце, ул. Богојевце бб, 16254 Богојевце, ПИБ 112302740, матични број 66012212, саласио се са исправком рачунске грешке.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ХЕЛЕНИА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3.941.200,00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4.335.320,00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Прегледом понуде понуђача ХЕЛЕНИА ДОО, ул. Петра Добрњца 101, 37000 Крушевац, ПИБ 109997876, матични број 21282413 Комисија за јавне набавке је утврдила да је исти у Изјави о испуњености критеријума за квалитативни избор привредног субјекта у одељку "1.8.Н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еистинити подаци и недостављање доказа" на питање "Да ли привредни субјект може да потврди да у периоду од претходне три године од дана истека рока за подношење понуда у поступцима јавних набавки: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а) није доставио неистините податке потребне за проверу осн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ова за искључење или критеријума за избор привредног субјекта те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б) је био у стању да достави доказе о испуњености критеријума за квалитативни избор привредног субјекта?"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као одговор је означио "НЕ" и навео је да је Одлуком Наручиоца Казнено-поправни завод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у Нишу, њихова понуда одбијена као неприхватљива јер су били у блокади један дан и то 25.10.2021.године. Даље наводе да од тада никада више нису били у блокади, а од предузетих мера навели су да су од 22.11.2024.године закључиили 21 уговор о јавној набавц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 воћа, поврћа и сродних производа, од тога 6 уговора у 2026.години.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Комисија за јавне набавке је увидом у Одлуку Наручиоца УКЦ НИШ бр.9359/ЗОС-и од 20.09.2024.године утврдила да је понуда понуђача ХЕЛЕНИА ДОО, ул. Петра Добрњца 101, 37000 Крушевац, ПИБ 10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9997876, матични број 21282413 одбијена као неприхватљива јер исти није доставио доказе о испуњености критеријума за квалитативни избор привредног субјекта у остављеном року, што понуђач није навео у Изјави о испуњености критеријума за квалитативни избор п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ривредног субјекта у одељку "1.8.Неистинити подаци и недостављање доказа", те је самим тим извршио повреду члана 112. став 1. тачка 6. Закона о јавним набавкама.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Из напред наведеног, понуда понуђача ХЕЛЕНИА ДОО, ул. Петра Добрњца 101, 37000 Крушевац, ПИБ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09997876, матични број 21282413 одбија се као неприхватљива у складу са чланом 144. став 1. тачка 1) Закона о јавним набавкама.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C16A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постоје основи за искључење привредног субјекта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4.242.600,00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4.667.260,00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Прегледом понуде привредног субјекта Фресх Лине доо Краљево, ул. Карађорђева бр.196 б, 36000 Краљево, ПИБ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104513532, матични број 20175702 Комисија за јавне набавке је утврдила да је исти у Изјави о испуњености критеријума за квалитативни избор привредног субјекта у одељку "1.8.Неистинити подаци и недостављање доказа" на питање "Да ли привредни субјект може да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потврди да у периоду од претходне три године од дана истека рока за подношење понуда у поступцима јавних набавки: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а) није доставио неистините податке потребне за проверу основа за искључење или критеријума за избор привредног субјекта те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б) је био у стању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да достави доказе о испуњености критеријума за квалитативни избор привредног субјекта?" као одговор је означио "НЕ", детаљно је образложио због чега је дошло до пропуста и навео опис предузетих мера које се састоје у следећем: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Понуђач ФРЕСХ ЛИНЕ ДОО 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донео Одлуку бр. 294/2025 од 21.03.2025. године којом је утврђено да се у поступцима јавних набавки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 којима се као основ искључења наводи члан 112. став 1. тачка 6) ЗЈН, обавезно на постављено питање одговара са НЕ и да се да потребно појашњење. Ово док 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е истекне период од три године, у односу на поступке у којима је констатовано да понуђач ФРЕСХ ЛИНЕ ДОО Краљево није доставио захтеване доказе; тачком 2. наведене одлуке назначено је да се сви докази (како они који се достављају уз понуду у смислу техничке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спецификације и др., тако и они о испуњености критеријума за избор привредног субјекта) достављају одмах уз понуду. Истом одлуком, прописана је обавеза да се изврши преглед комплетне документације која чини одређену понуду и пре и након слања понуде (пров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ером на Порталу јавних набавки).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 Понуђач ФРЕСХ ЛИНЕ ДОО је начин поступања уредио Процедуром број 294-1/2025 од 21.03.2025. године. Овом процедуром је прописано како се врши припрема и провера, пре и након подношења понуде на Порталу јавних набавки, 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циљу смањивања и отклањања ризика од формалних недостатака и одбијања понуде, и како би се обезбедило подношење усклађене документације.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• Понуђач ФРЕСХ ЛИНЕ ДОО је Анексом Уговора о раду, број 82-4 од 21.03.2025. године одредио конкретно лице за проверу 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окументације.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Комисија за јавне набавке је на основу члана 113. став 3. Закона о јавним набавкама одлучила да неће искључити привредног субјекта из поступка јавне набавке јер су предузете мере примерене.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rPr>
          <w:trHeight w:val="14"/>
        </w:trPr>
        <w:tc>
          <w:tcPr>
            <w:tcW w:w="1539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C16A80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C16A80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16A80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C16A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16A80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C16A8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16A80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16A80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ДРАГАНА СИМОНОВИЋ ПР БОГОЈЕВЦЕ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3.882.791,14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ФРЕСХ ЛИНЕ ДОО, КРАЉЕВО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понуде: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4.242.600,00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16A80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16A80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C16A80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16A80" w:rsidRDefault="00BC08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16A80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16A80" w:rsidRDefault="00C16A8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16A80" w:rsidRDefault="00C16A8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16A80">
        <w:trPr>
          <w:trHeight w:val="523"/>
        </w:trPr>
        <w:tc>
          <w:tcPr>
            <w:tcW w:w="15392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16A80" w:rsidRDefault="00C16A8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16A80" w:rsidRDefault="00C16A80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C16A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BC08C9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1_0"/>
      <w:bookmarkStart w:id="32" w:name="_Hlk32839505_0"/>
      <w:bookmarkEnd w:id="31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Привредни субјект је испунио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C16A80" w:rsidTr="006E13B1">
        <w:tc>
          <w:tcPr>
            <w:tcW w:w="10342" w:type="dxa"/>
          </w:tcPr>
          <w:p w:rsidR="006E13B1" w:rsidRPr="00F61EC9" w:rsidRDefault="00BC08C9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BC08C9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2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8C9" w:rsidRDefault="00BC08C9" w:rsidP="00C16A80">
      <w:pPr>
        <w:spacing w:before="0" w:after="0"/>
      </w:pPr>
      <w:r>
        <w:separator/>
      </w:r>
    </w:p>
  </w:endnote>
  <w:endnote w:type="continuationSeparator" w:id="1">
    <w:p w:rsidR="00BC08C9" w:rsidRDefault="00BC08C9" w:rsidP="00C16A8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C16A8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C16A80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D005DE" w:rsidRPr="00D005DE">
      <w:rPr>
        <w:caps/>
        <w:noProof/>
        <w:sz w:val="12"/>
        <w:szCs w:val="12"/>
        <w:lang w:val="hr-HR"/>
      </w:rPr>
      <w:t>ОДЛУКА О ЗАКЉУЧЕЊУ ОКВИРНОГ СПОРАЗУМА</w:t>
    </w:r>
    <w:r w:rsidR="00BC08C9">
      <w:rPr>
        <w:caps/>
        <w:sz w:val="12"/>
        <w:szCs w:val="12"/>
        <w:lang w:val="hr-HR"/>
      </w:rPr>
      <w:tab/>
    </w:r>
    <w:r w:rsidR="00BC08C9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BC08C9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BC08C9"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8C9" w:rsidRDefault="00BC08C9" w:rsidP="00C16A80">
      <w:pPr>
        <w:spacing w:before="0" w:after="0"/>
      </w:pPr>
      <w:r>
        <w:separator/>
      </w:r>
    </w:p>
  </w:footnote>
  <w:footnote w:type="continuationSeparator" w:id="1">
    <w:p w:rsidR="00BC08C9" w:rsidRDefault="00BC08C9" w:rsidP="00C16A8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80" w:rsidRDefault="00C16A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C08C9"/>
    <w:rsid w:val="00BE147A"/>
    <w:rsid w:val="00C16A80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C5666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80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C16A80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Windows korisnik</cp:lastModifiedBy>
  <cp:revision>10</cp:revision>
  <cp:lastPrinted>2026-05-06T10:25:00Z</cp:lastPrinted>
  <dcterms:created xsi:type="dcterms:W3CDTF">2020-02-17T15:21:00Z</dcterms:created>
  <dcterms:modified xsi:type="dcterms:W3CDTF">2026-05-06T10:25:00Z</dcterms:modified>
</cp:coreProperties>
</file>